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66C495" w14:textId="77777777" w:rsidR="00C033D2" w:rsidRDefault="00C033D2" w:rsidP="00C033D2">
      <w:pPr>
        <w:widowControl w:val="0"/>
        <w:autoSpaceDE w:val="0"/>
        <w:autoSpaceDN w:val="0"/>
        <w:adjustRightInd w:val="0"/>
        <w:jc w:val="both"/>
        <w:rPr>
          <w:rFonts w:ascii="Cambria" w:hAnsi="Cambria" w:cs="Courier New"/>
          <w:b/>
          <w:color w:val="000000"/>
          <w:sz w:val="24"/>
          <w:szCs w:val="24"/>
        </w:rPr>
      </w:pPr>
      <w:bookmarkStart w:id="0" w:name="_GoBack"/>
      <w:bookmarkEnd w:id="0"/>
    </w:p>
    <w:p w14:paraId="13904C18" w14:textId="77777777" w:rsidR="00C033D2" w:rsidRPr="007C2BA2" w:rsidRDefault="0010511D" w:rsidP="00C033D2">
      <w:pPr>
        <w:widowControl w:val="0"/>
        <w:autoSpaceDE w:val="0"/>
        <w:autoSpaceDN w:val="0"/>
        <w:adjustRightInd w:val="0"/>
        <w:jc w:val="both"/>
        <w:rPr>
          <w:rFonts w:ascii="Cambria" w:hAnsi="Cambria" w:cs="Courier New"/>
          <w:b/>
          <w:color w:val="000000"/>
          <w:sz w:val="24"/>
          <w:szCs w:val="24"/>
        </w:rPr>
      </w:pPr>
      <w:r>
        <w:rPr>
          <w:rFonts w:ascii="Cambria" w:hAnsi="Cambria" w:cs="Courier New"/>
          <w:b/>
          <w:color w:val="000000"/>
          <w:sz w:val="24"/>
          <w:szCs w:val="24"/>
        </w:rPr>
        <w:pict w14:anchorId="22927C47">
          <v:rect id="_x0000_i1025" style="width:0;height:1.5pt" o:hralign="center" o:hrstd="t" o:hr="t" fillcolor="#a0a0a0" stroked="f"/>
        </w:pict>
      </w:r>
    </w:p>
    <w:p w14:paraId="21C3DE88" w14:textId="77777777" w:rsidR="00C033D2" w:rsidRPr="00567815" w:rsidRDefault="00C033D2" w:rsidP="00C033D2">
      <w:pPr>
        <w:widowControl w:val="0"/>
        <w:shd w:val="clear" w:color="auto" w:fill="000000"/>
        <w:jc w:val="center"/>
        <w:rPr>
          <w:rFonts w:ascii="Cambria" w:hAnsi="Cambria" w:cs="Arial"/>
          <w:color w:val="F2F2F2"/>
          <w:spacing w:val="20"/>
          <w:sz w:val="28"/>
          <w:szCs w:val="24"/>
        </w:rPr>
      </w:pPr>
      <w:r>
        <w:rPr>
          <w:rFonts w:ascii="Cambria" w:hAnsi="Cambria" w:cs="Arial"/>
          <w:color w:val="F2F2F2"/>
          <w:spacing w:val="20"/>
          <w:sz w:val="28"/>
          <w:szCs w:val="24"/>
        </w:rPr>
        <w:t xml:space="preserve">PROCURADORIA JURÍDICA </w:t>
      </w:r>
    </w:p>
    <w:p w14:paraId="723CC884" w14:textId="77777777" w:rsidR="00C033D2" w:rsidRDefault="00C033D2" w:rsidP="00C033D2">
      <w:pPr>
        <w:widowControl w:val="0"/>
        <w:shd w:val="clear" w:color="auto" w:fill="000000"/>
        <w:jc w:val="center"/>
        <w:rPr>
          <w:rFonts w:ascii="Cambria" w:hAnsi="Cambria" w:cs="Arial"/>
          <w:color w:val="F2F2F2"/>
          <w:spacing w:val="20"/>
          <w:sz w:val="28"/>
          <w:szCs w:val="24"/>
        </w:rPr>
      </w:pPr>
      <w:r>
        <w:rPr>
          <w:rFonts w:ascii="Cambria" w:hAnsi="Cambria" w:cs="Arial"/>
          <w:color w:val="F2F2F2"/>
          <w:spacing w:val="20"/>
          <w:sz w:val="28"/>
          <w:szCs w:val="24"/>
        </w:rPr>
        <w:t>Parecer Jurídico</w:t>
      </w:r>
    </w:p>
    <w:p w14:paraId="20E56A3D" w14:textId="77777777" w:rsidR="00C033D2" w:rsidRDefault="00C033D2" w:rsidP="00C033D2">
      <w:pPr>
        <w:widowControl w:val="0"/>
        <w:spacing w:line="360" w:lineRule="auto"/>
        <w:ind w:left="3402" w:hanging="3402"/>
        <w:jc w:val="both"/>
        <w:rPr>
          <w:rFonts w:ascii="Cambria" w:hAnsi="Cambria" w:cs="Courier New"/>
          <w:b/>
          <w:color w:val="000000"/>
        </w:rPr>
      </w:pPr>
    </w:p>
    <w:p w14:paraId="1C296A6C" w14:textId="77777777" w:rsidR="00C033D2" w:rsidRPr="004A6FD9" w:rsidRDefault="00C033D2" w:rsidP="00C033D2">
      <w:pPr>
        <w:widowControl w:val="0"/>
        <w:spacing w:line="360" w:lineRule="auto"/>
        <w:ind w:left="2268" w:hanging="2268"/>
        <w:jc w:val="both"/>
        <w:rPr>
          <w:rFonts w:ascii="Cambria" w:hAnsi="Cambria" w:cs="Courier New"/>
          <w:bCs/>
          <w:color w:val="000000"/>
          <w:sz w:val="18"/>
          <w:szCs w:val="18"/>
        </w:rPr>
      </w:pPr>
      <w:r>
        <w:rPr>
          <w:rFonts w:ascii="Cambria" w:hAnsi="Cambria" w:cs="Courier New"/>
          <w:b/>
          <w:color w:val="000000"/>
          <w:sz w:val="18"/>
          <w:szCs w:val="18"/>
        </w:rPr>
        <w:t xml:space="preserve">Projeto de Lei Comp. </w:t>
      </w:r>
      <w:r w:rsidRPr="004A6FD9">
        <w:rPr>
          <w:rFonts w:ascii="Cambria" w:hAnsi="Cambria" w:cs="Courier New"/>
          <w:b/>
          <w:color w:val="000000"/>
          <w:sz w:val="18"/>
          <w:szCs w:val="18"/>
        </w:rPr>
        <w:t>nº</w:t>
      </w:r>
      <w:r w:rsidRPr="004A6FD9">
        <w:rPr>
          <w:rFonts w:ascii="Cambria" w:hAnsi="Cambria" w:cs="Courier New"/>
          <w:b/>
          <w:color w:val="000000"/>
          <w:sz w:val="18"/>
          <w:szCs w:val="18"/>
        </w:rPr>
        <w:tab/>
      </w:r>
      <w:r w:rsidRPr="004A6FD9">
        <w:rPr>
          <w:rFonts w:ascii="Cambria" w:hAnsi="Cambria" w:cs="Courier New"/>
          <w:bCs/>
          <w:color w:val="000000"/>
          <w:sz w:val="18"/>
          <w:szCs w:val="18"/>
        </w:rPr>
        <w:t>00</w:t>
      </w:r>
      <w:r>
        <w:rPr>
          <w:rFonts w:ascii="Cambria" w:hAnsi="Cambria" w:cs="Courier New"/>
          <w:bCs/>
          <w:color w:val="000000"/>
          <w:sz w:val="18"/>
          <w:szCs w:val="18"/>
        </w:rPr>
        <w:t>65</w:t>
      </w:r>
      <w:r w:rsidRPr="004A6FD9">
        <w:rPr>
          <w:rFonts w:ascii="Cambria" w:hAnsi="Cambria" w:cs="Courier New"/>
          <w:bCs/>
          <w:color w:val="000000"/>
          <w:sz w:val="18"/>
          <w:szCs w:val="18"/>
        </w:rPr>
        <w:t>/2020</w:t>
      </w:r>
    </w:p>
    <w:p w14:paraId="7BE476EA" w14:textId="77777777" w:rsidR="00C033D2" w:rsidRPr="004A6FD9" w:rsidRDefault="00C033D2" w:rsidP="00C033D2">
      <w:pPr>
        <w:widowControl w:val="0"/>
        <w:spacing w:after="120" w:line="360" w:lineRule="auto"/>
        <w:ind w:left="2268" w:hanging="2268"/>
        <w:jc w:val="both"/>
        <w:rPr>
          <w:rFonts w:ascii="Cambria" w:hAnsi="Cambria" w:cs="Courier New"/>
          <w:b/>
          <w:color w:val="000000"/>
          <w:sz w:val="18"/>
          <w:szCs w:val="18"/>
        </w:rPr>
      </w:pPr>
      <w:proofErr w:type="gramStart"/>
      <w:r w:rsidRPr="004A6FD9">
        <w:rPr>
          <w:rFonts w:ascii="Cambria" w:hAnsi="Cambria" w:cs="Courier New"/>
          <w:b/>
          <w:color w:val="000000"/>
          <w:sz w:val="18"/>
          <w:szCs w:val="18"/>
        </w:rPr>
        <w:t>Autoria:</w:t>
      </w:r>
      <w:r w:rsidRPr="004A6FD9">
        <w:rPr>
          <w:rFonts w:ascii="Cambria" w:hAnsi="Cambria" w:cs="Courier New"/>
          <w:b/>
          <w:color w:val="000000"/>
          <w:sz w:val="18"/>
          <w:szCs w:val="18"/>
        </w:rPr>
        <w:tab/>
      </w:r>
      <w:proofErr w:type="gramEnd"/>
      <w:r>
        <w:rPr>
          <w:rFonts w:ascii="Cambria" w:hAnsi="Cambria" w:cs="Courier New"/>
          <w:bCs/>
          <w:color w:val="000000"/>
          <w:sz w:val="18"/>
          <w:szCs w:val="18"/>
        </w:rPr>
        <w:t>Prefeito Municipal</w:t>
      </w:r>
    </w:p>
    <w:p w14:paraId="06B2EC5E" w14:textId="77777777" w:rsidR="00C033D2" w:rsidRPr="004A6FD9" w:rsidRDefault="00C033D2" w:rsidP="00C033D2">
      <w:pPr>
        <w:widowControl w:val="0"/>
        <w:spacing w:line="360" w:lineRule="auto"/>
        <w:ind w:left="2268" w:hanging="2268"/>
        <w:jc w:val="both"/>
        <w:rPr>
          <w:rFonts w:ascii="Cambria" w:hAnsi="Cambria" w:cs="Courier New"/>
          <w:iCs/>
          <w:color w:val="000000"/>
          <w:sz w:val="18"/>
          <w:szCs w:val="18"/>
        </w:rPr>
      </w:pPr>
      <w:r>
        <w:rPr>
          <w:rFonts w:ascii="Cambria" w:hAnsi="Cambria" w:cs="Courier New"/>
          <w:b/>
          <w:color w:val="000000"/>
          <w:sz w:val="18"/>
          <w:szCs w:val="18"/>
        </w:rPr>
        <w:t>Ementa</w:t>
      </w:r>
      <w:r w:rsidRPr="004A6FD9">
        <w:rPr>
          <w:rFonts w:ascii="Cambria" w:hAnsi="Cambria" w:cs="Courier New"/>
          <w:b/>
          <w:color w:val="000000"/>
          <w:sz w:val="18"/>
          <w:szCs w:val="18"/>
        </w:rPr>
        <w:t>:</w:t>
      </w:r>
      <w:r w:rsidRPr="004A6FD9">
        <w:rPr>
          <w:rFonts w:ascii="Cambria" w:hAnsi="Cambria" w:cs="Courier New"/>
          <w:i/>
          <w:color w:val="000000"/>
          <w:sz w:val="18"/>
          <w:szCs w:val="18"/>
        </w:rPr>
        <w:t xml:space="preserve"> </w:t>
      </w:r>
      <w:r w:rsidRPr="004A6FD9">
        <w:rPr>
          <w:rFonts w:ascii="Cambria" w:hAnsi="Cambria" w:cs="Courier New"/>
          <w:i/>
          <w:color w:val="000000"/>
          <w:sz w:val="18"/>
          <w:szCs w:val="18"/>
        </w:rPr>
        <w:tab/>
      </w:r>
      <w:r w:rsidRPr="004A6FD9">
        <w:rPr>
          <w:rFonts w:ascii="Cambria" w:hAnsi="Cambria" w:cs="Courier New"/>
          <w:iCs/>
          <w:color w:val="000000"/>
          <w:sz w:val="18"/>
          <w:szCs w:val="18"/>
        </w:rPr>
        <w:t>P</w:t>
      </w:r>
      <w:r w:rsidRPr="004A6FD9">
        <w:rPr>
          <w:rFonts w:ascii="Cambria" w:hAnsi="Cambria"/>
          <w:sz w:val="18"/>
          <w:szCs w:val="18"/>
        </w:rPr>
        <w:t>rocesso legislativo deflagrado pel</w:t>
      </w:r>
      <w:r>
        <w:rPr>
          <w:rFonts w:ascii="Cambria" w:hAnsi="Cambria"/>
          <w:sz w:val="18"/>
          <w:szCs w:val="18"/>
        </w:rPr>
        <w:t>o</w:t>
      </w:r>
      <w:r w:rsidRPr="004A6FD9">
        <w:rPr>
          <w:rFonts w:ascii="Cambria" w:hAnsi="Cambria"/>
          <w:sz w:val="18"/>
          <w:szCs w:val="18"/>
        </w:rPr>
        <w:t xml:space="preserve"> </w:t>
      </w:r>
      <w:r>
        <w:rPr>
          <w:rFonts w:ascii="Cambria" w:hAnsi="Cambria"/>
          <w:sz w:val="18"/>
          <w:szCs w:val="18"/>
        </w:rPr>
        <w:t>Prefeito Municipal</w:t>
      </w:r>
      <w:r w:rsidRPr="004A6FD9">
        <w:rPr>
          <w:rFonts w:ascii="Cambria" w:hAnsi="Cambria"/>
          <w:sz w:val="18"/>
          <w:szCs w:val="18"/>
        </w:rPr>
        <w:t xml:space="preserve"> decorrente </w:t>
      </w:r>
      <w:r>
        <w:rPr>
          <w:rFonts w:ascii="Cambria" w:hAnsi="Cambria"/>
          <w:sz w:val="18"/>
          <w:szCs w:val="18"/>
        </w:rPr>
        <w:t xml:space="preserve">de </w:t>
      </w:r>
      <w:r w:rsidRPr="004A6FD9">
        <w:rPr>
          <w:rFonts w:ascii="Cambria" w:hAnsi="Cambria"/>
          <w:sz w:val="18"/>
          <w:szCs w:val="18"/>
        </w:rPr>
        <w:t>projeto de lei que</w:t>
      </w:r>
      <w:r>
        <w:rPr>
          <w:rFonts w:ascii="Cambria" w:hAnsi="Cambria"/>
          <w:sz w:val="18"/>
          <w:szCs w:val="18"/>
        </w:rPr>
        <w:t xml:space="preserve"> estima a receita e fixa a despesa do Município de Botucatu para o exercício de 2021. Ausência de vício de iniciativa. Matéria atinente à competência específica da Comissão de Constituição e Justiça e da Comissão de Orçamento, Finanças e Contabilidade. Aprovação em votação única e quórum de maioria simples dos presentes. Regularidade sob o aspecto material nos termos da Lei Orgânica. Conclusão pela regularidade jurídica da matéria projetada.</w:t>
      </w:r>
    </w:p>
    <w:p w14:paraId="19228148" w14:textId="77777777" w:rsidR="00C033D2" w:rsidRPr="007C2BA2" w:rsidRDefault="0010511D" w:rsidP="00C033D2">
      <w:pPr>
        <w:widowControl w:val="0"/>
        <w:autoSpaceDE w:val="0"/>
        <w:autoSpaceDN w:val="0"/>
        <w:adjustRightInd w:val="0"/>
        <w:jc w:val="both"/>
        <w:rPr>
          <w:rFonts w:ascii="Cambria" w:hAnsi="Cambria" w:cs="Courier New"/>
          <w:b/>
          <w:bCs/>
          <w:i/>
          <w:sz w:val="24"/>
          <w:szCs w:val="24"/>
        </w:rPr>
      </w:pPr>
      <w:r>
        <w:rPr>
          <w:rFonts w:ascii="Cambria" w:hAnsi="Cambria" w:cs="Courier New"/>
          <w:b/>
          <w:color w:val="000000"/>
          <w:sz w:val="24"/>
          <w:szCs w:val="24"/>
        </w:rPr>
        <w:pict w14:anchorId="68B67300">
          <v:rect id="_x0000_i1026" style="width:0;height:1.5pt" o:hralign="center" o:hrstd="t" o:hr="t" fillcolor="#a0a0a0" stroked="f"/>
        </w:pict>
      </w:r>
    </w:p>
    <w:p w14:paraId="5BC6644C" w14:textId="77777777" w:rsidR="00C033D2" w:rsidRDefault="00C033D2" w:rsidP="00C033D2">
      <w:pPr>
        <w:widowControl w:val="0"/>
        <w:autoSpaceDE w:val="0"/>
        <w:autoSpaceDN w:val="0"/>
        <w:adjustRightInd w:val="0"/>
        <w:spacing w:line="360" w:lineRule="auto"/>
        <w:rPr>
          <w:rFonts w:ascii="Cambria" w:hAnsi="Cambria" w:cs="Courier New"/>
          <w:b/>
          <w:bCs/>
          <w:i/>
          <w:sz w:val="24"/>
          <w:szCs w:val="24"/>
        </w:rPr>
      </w:pPr>
    </w:p>
    <w:p w14:paraId="650299D7" w14:textId="77777777" w:rsidR="00C033D2" w:rsidRDefault="00C033D2" w:rsidP="00C033D2">
      <w:pPr>
        <w:widowControl w:val="0"/>
        <w:autoSpaceDE w:val="0"/>
        <w:autoSpaceDN w:val="0"/>
        <w:adjustRightInd w:val="0"/>
        <w:spacing w:line="360" w:lineRule="auto"/>
        <w:ind w:left="2160"/>
        <w:rPr>
          <w:rFonts w:ascii="Cambria" w:hAnsi="Cambria" w:cs="Courier New"/>
          <w:b/>
          <w:bCs/>
          <w:sz w:val="24"/>
          <w:szCs w:val="24"/>
        </w:rPr>
      </w:pPr>
      <w:r w:rsidRPr="002148A5">
        <w:rPr>
          <w:rFonts w:ascii="Cambria" w:hAnsi="Cambria" w:cs="Courier New"/>
          <w:b/>
          <w:bCs/>
          <w:i/>
          <w:sz w:val="24"/>
          <w:szCs w:val="24"/>
        </w:rPr>
        <w:t>Excelentíssimo Senhor Presidente da Câmara</w:t>
      </w:r>
      <w:r w:rsidRPr="002148A5">
        <w:rPr>
          <w:rFonts w:ascii="Cambria" w:hAnsi="Cambria" w:cs="Courier New"/>
          <w:b/>
          <w:bCs/>
          <w:sz w:val="24"/>
          <w:szCs w:val="24"/>
        </w:rPr>
        <w:t>,</w:t>
      </w:r>
      <w:r>
        <w:rPr>
          <w:rFonts w:ascii="Cambria" w:hAnsi="Cambria" w:cs="Courier New"/>
          <w:b/>
          <w:bCs/>
          <w:sz w:val="24"/>
          <w:szCs w:val="24"/>
        </w:rPr>
        <w:tab/>
      </w:r>
      <w:r>
        <w:rPr>
          <w:rFonts w:ascii="Cambria" w:hAnsi="Cambria" w:cs="Courier New"/>
          <w:b/>
          <w:bCs/>
          <w:sz w:val="24"/>
          <w:szCs w:val="24"/>
        </w:rPr>
        <w:tab/>
      </w:r>
      <w:r>
        <w:rPr>
          <w:rFonts w:ascii="Cambria" w:hAnsi="Cambria" w:cs="Courier New"/>
          <w:b/>
          <w:bCs/>
          <w:sz w:val="24"/>
          <w:szCs w:val="24"/>
        </w:rPr>
        <w:tab/>
      </w:r>
    </w:p>
    <w:p w14:paraId="2FD4ABF7" w14:textId="77777777" w:rsidR="00C033D2" w:rsidRPr="002148A5" w:rsidRDefault="00C033D2" w:rsidP="00C033D2">
      <w:pPr>
        <w:widowControl w:val="0"/>
        <w:autoSpaceDE w:val="0"/>
        <w:autoSpaceDN w:val="0"/>
        <w:adjustRightInd w:val="0"/>
        <w:spacing w:line="360" w:lineRule="auto"/>
        <w:ind w:left="4320" w:firstLine="720"/>
        <w:jc w:val="center"/>
        <w:rPr>
          <w:rFonts w:ascii="Cambria" w:hAnsi="Cambria" w:cs="Courier New"/>
          <w:b/>
          <w:bCs/>
          <w:sz w:val="24"/>
          <w:szCs w:val="24"/>
        </w:rPr>
      </w:pPr>
      <w:r>
        <w:rPr>
          <w:rFonts w:ascii="Cambria" w:hAnsi="Cambria" w:cs="Courier New"/>
          <w:b/>
          <w:bCs/>
          <w:i/>
          <w:sz w:val="24"/>
          <w:szCs w:val="24"/>
        </w:rPr>
        <w:t xml:space="preserve">Colenda Comissão Permanente, </w:t>
      </w:r>
      <w:r>
        <w:rPr>
          <w:rFonts w:ascii="Cambria" w:hAnsi="Cambria" w:cs="Courier New"/>
          <w:b/>
          <w:bCs/>
          <w:i/>
          <w:sz w:val="24"/>
          <w:szCs w:val="24"/>
        </w:rPr>
        <w:tab/>
      </w:r>
    </w:p>
    <w:p w14:paraId="0CD5FAED" w14:textId="77777777" w:rsidR="00C033D2" w:rsidRPr="002148A5" w:rsidRDefault="00C033D2" w:rsidP="00C033D2">
      <w:pPr>
        <w:widowControl w:val="0"/>
        <w:autoSpaceDE w:val="0"/>
        <w:autoSpaceDN w:val="0"/>
        <w:adjustRightInd w:val="0"/>
        <w:spacing w:line="360" w:lineRule="auto"/>
        <w:ind w:left="5760" w:firstLine="720"/>
        <w:jc w:val="center"/>
        <w:rPr>
          <w:rFonts w:ascii="Cambria" w:hAnsi="Cambria" w:cs="Courier New"/>
          <w:b/>
          <w:bCs/>
          <w:sz w:val="24"/>
          <w:szCs w:val="24"/>
        </w:rPr>
      </w:pPr>
      <w:r w:rsidRPr="002148A5">
        <w:rPr>
          <w:rFonts w:ascii="Cambria" w:hAnsi="Cambria" w:cs="Courier New"/>
          <w:b/>
          <w:bCs/>
          <w:i/>
          <w:iCs/>
          <w:sz w:val="24"/>
          <w:szCs w:val="24"/>
        </w:rPr>
        <w:t>Nobres Vereadores.</w:t>
      </w:r>
    </w:p>
    <w:p w14:paraId="0808018F" w14:textId="77777777" w:rsidR="00C033D2" w:rsidRDefault="00C033D2" w:rsidP="00C033D2">
      <w:pPr>
        <w:widowControl w:val="0"/>
        <w:rPr>
          <w:b/>
          <w:sz w:val="24"/>
          <w:szCs w:val="24"/>
        </w:rPr>
      </w:pPr>
    </w:p>
    <w:p w14:paraId="36308BEA" w14:textId="77777777" w:rsidR="00C033D2" w:rsidRDefault="00C033D2" w:rsidP="00C033D2">
      <w:pPr>
        <w:widowControl w:val="0"/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  <w:r w:rsidRPr="002148A5">
        <w:rPr>
          <w:rFonts w:ascii="Cambria" w:hAnsi="Cambria"/>
          <w:sz w:val="22"/>
          <w:szCs w:val="22"/>
        </w:rPr>
        <w:t xml:space="preserve">Trata-se de </w:t>
      </w:r>
      <w:r>
        <w:rPr>
          <w:rFonts w:ascii="Cambria" w:hAnsi="Cambria"/>
          <w:sz w:val="22"/>
          <w:szCs w:val="22"/>
        </w:rPr>
        <w:t xml:space="preserve">processo </w:t>
      </w:r>
      <w:r w:rsidRPr="00654937">
        <w:rPr>
          <w:rFonts w:ascii="Cambria" w:hAnsi="Cambria"/>
          <w:sz w:val="22"/>
          <w:szCs w:val="22"/>
        </w:rPr>
        <w:t xml:space="preserve">legislativo </w:t>
      </w:r>
      <w:r w:rsidRPr="008E530B">
        <w:rPr>
          <w:rFonts w:ascii="Cambria" w:hAnsi="Cambria"/>
          <w:sz w:val="22"/>
          <w:szCs w:val="22"/>
        </w:rPr>
        <w:t xml:space="preserve">deflagrado pelo Prefeito Municipal decorrente de projeto de lei que estima a receita e fixa a despesa do Município de Botucatu </w:t>
      </w:r>
      <w:r>
        <w:rPr>
          <w:rFonts w:ascii="Cambria" w:hAnsi="Cambria"/>
          <w:sz w:val="22"/>
          <w:szCs w:val="22"/>
        </w:rPr>
        <w:t xml:space="preserve">em R$ 422.888.850,00 </w:t>
      </w:r>
      <w:r w:rsidRPr="008E530B">
        <w:rPr>
          <w:rFonts w:ascii="Cambria" w:hAnsi="Cambria"/>
          <w:sz w:val="22"/>
          <w:szCs w:val="22"/>
        </w:rPr>
        <w:t>para o exercício de 2021</w:t>
      </w:r>
      <w:r>
        <w:rPr>
          <w:rFonts w:ascii="Cambria" w:hAnsi="Cambria"/>
          <w:sz w:val="22"/>
          <w:szCs w:val="22"/>
        </w:rPr>
        <w:t>.</w:t>
      </w:r>
    </w:p>
    <w:p w14:paraId="7F7455FD" w14:textId="77777777" w:rsidR="00C033D2" w:rsidRDefault="00C033D2" w:rsidP="00C033D2">
      <w:pPr>
        <w:widowControl w:val="0"/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  <w:r w:rsidRPr="00530EFE">
        <w:rPr>
          <w:rFonts w:ascii="Cambria" w:hAnsi="Cambria"/>
          <w:sz w:val="22"/>
          <w:szCs w:val="22"/>
        </w:rPr>
        <w:t xml:space="preserve"> </w:t>
      </w:r>
      <w:r w:rsidRPr="00514B94">
        <w:rPr>
          <w:rFonts w:ascii="Cambria" w:hAnsi="Cambria"/>
          <w:i/>
          <w:iCs/>
          <w:sz w:val="22"/>
          <w:szCs w:val="22"/>
        </w:rPr>
        <w:t>A priori</w:t>
      </w:r>
      <w:r>
        <w:rPr>
          <w:rFonts w:ascii="Cambria" w:hAnsi="Cambria"/>
          <w:sz w:val="22"/>
          <w:szCs w:val="22"/>
        </w:rPr>
        <w:t>, frise-se que a análise meritória do presente projeto de lei se dará por intermédio do exercício da competência política dos nobres vereadores através da observância do princípio da soberania do plenário.</w:t>
      </w:r>
    </w:p>
    <w:p w14:paraId="2D13BDC7" w14:textId="77777777" w:rsidR="00C033D2" w:rsidRDefault="00C033D2" w:rsidP="00C033D2">
      <w:pPr>
        <w:widowControl w:val="0"/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Não obstante, o presente parecer limitar-se-á à análise jurídica s</w:t>
      </w:r>
      <w:r w:rsidRPr="008B5173">
        <w:rPr>
          <w:rFonts w:ascii="Cambria" w:hAnsi="Cambria"/>
          <w:sz w:val="22"/>
          <w:szCs w:val="22"/>
        </w:rPr>
        <w:t>ob</w:t>
      </w:r>
      <w:r>
        <w:rPr>
          <w:rFonts w:ascii="Cambria" w:hAnsi="Cambria"/>
          <w:i/>
          <w:iCs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aspecto formal e material do processo legislativo em questão, conforme passamos a expor.</w:t>
      </w:r>
    </w:p>
    <w:p w14:paraId="6964404D" w14:textId="77777777" w:rsidR="00C033D2" w:rsidRDefault="00C033D2" w:rsidP="00C033D2">
      <w:pPr>
        <w:widowControl w:val="0"/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Quanto ao aspecto formal do projeto, a iniciativa de projetos de lei que versem sobre o plano plurianual, diretrizes orçamentárias e os orçamentos anuais são do Poder Executivo nos termos do art. 165 e incisos da Constituição Federal. </w:t>
      </w:r>
    </w:p>
    <w:p w14:paraId="4603AEFA" w14:textId="77777777" w:rsidR="00C033D2" w:rsidRDefault="00C033D2" w:rsidP="00C033D2">
      <w:pPr>
        <w:widowControl w:val="0"/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Sob o aspecto da competência municipal, o art. 111 da Lei Orgânica do Município de Botucatu, por disposição simétrica, nos traz a competência do executivo para este tipo de assunto, o que confere legitimidade ao autor da presente proposição e afasta qualquer vício de iniciativa no projeto em curso.</w:t>
      </w:r>
    </w:p>
    <w:p w14:paraId="165C80F8" w14:textId="77777777" w:rsidR="00C033D2" w:rsidRDefault="00C033D2" w:rsidP="00C033D2">
      <w:pPr>
        <w:widowControl w:val="0"/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lastRenderedPageBreak/>
        <w:t xml:space="preserve">Ainda sob o aspecto formal, observo que o presente projeto deverá transpassar pelo crivo da Colenda Comissão de Constituição e Justiça e da Colenda </w:t>
      </w:r>
      <w:r w:rsidRPr="000730DB">
        <w:rPr>
          <w:rFonts w:ascii="Cambria" w:hAnsi="Cambria"/>
          <w:sz w:val="22"/>
          <w:szCs w:val="22"/>
        </w:rPr>
        <w:t xml:space="preserve">Comissão de </w:t>
      </w:r>
      <w:r>
        <w:rPr>
          <w:rFonts w:ascii="Cambria" w:hAnsi="Cambria"/>
          <w:sz w:val="22"/>
          <w:szCs w:val="22"/>
        </w:rPr>
        <w:t xml:space="preserve">Orçamento, Finanças e Contabilidade no exercício de suas competências específicas previstas pelo art. 60, inc. I e II do Regimento Interno desta Egrégia Câmara Municipal. </w:t>
      </w:r>
    </w:p>
    <w:p w14:paraId="75CC5CE4" w14:textId="77777777" w:rsidR="00C033D2" w:rsidRDefault="00C033D2" w:rsidP="00C033D2">
      <w:pPr>
        <w:widowControl w:val="0"/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Quanto ao quórum de aprovação plenária, trata-se de projeto de lei que exige votação única e maioria simples dos presentes (Art. 39, §1º </w:t>
      </w:r>
      <w:proofErr w:type="spellStart"/>
      <w:r>
        <w:rPr>
          <w:rFonts w:ascii="Cambria" w:hAnsi="Cambria"/>
          <w:sz w:val="22"/>
          <w:szCs w:val="22"/>
        </w:rPr>
        <w:t>c.c</w:t>
      </w:r>
      <w:proofErr w:type="spellEnd"/>
      <w:r>
        <w:rPr>
          <w:rFonts w:ascii="Cambria" w:hAnsi="Cambria"/>
          <w:sz w:val="22"/>
          <w:szCs w:val="22"/>
        </w:rPr>
        <w:t>. o art. 40, inc. I, do Regimento Interno da Câmara Municipal; e art. 30 da Lei Orgânica Municipal).</w:t>
      </w:r>
    </w:p>
    <w:p w14:paraId="3C149CE0" w14:textId="77777777" w:rsidR="00C033D2" w:rsidRDefault="00C033D2" w:rsidP="00C033D2">
      <w:pPr>
        <w:widowControl w:val="0"/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  <w:r w:rsidRPr="003E3EC7">
        <w:rPr>
          <w:rFonts w:ascii="Cambria" w:hAnsi="Cambria"/>
          <w:sz w:val="22"/>
          <w:szCs w:val="22"/>
        </w:rPr>
        <w:t xml:space="preserve">Sob o aspecto material (conteúdo), o presente projeto vem </w:t>
      </w:r>
      <w:r>
        <w:rPr>
          <w:rFonts w:ascii="Cambria" w:hAnsi="Cambria"/>
          <w:sz w:val="22"/>
          <w:szCs w:val="22"/>
        </w:rPr>
        <w:t>baseado na necessidade de aprovação da Lei Orçamentária Anual, peça orçamentária que estima as receitas e fixa as despesas para o exercício de 2021 no Município de Botucatu.</w:t>
      </w:r>
    </w:p>
    <w:p w14:paraId="7DD31590" w14:textId="77777777" w:rsidR="00C033D2" w:rsidRPr="005D71DF" w:rsidRDefault="00C033D2" w:rsidP="00C033D2">
      <w:pPr>
        <w:widowControl w:val="0"/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  <w:r w:rsidRPr="005D71DF">
        <w:rPr>
          <w:rFonts w:ascii="Cambria" w:hAnsi="Cambria"/>
          <w:sz w:val="22"/>
          <w:szCs w:val="22"/>
        </w:rPr>
        <w:t xml:space="preserve">O Orçamento é lastreado em três leis </w:t>
      </w:r>
      <w:r>
        <w:rPr>
          <w:rFonts w:ascii="Cambria" w:hAnsi="Cambria"/>
          <w:sz w:val="22"/>
          <w:szCs w:val="22"/>
        </w:rPr>
        <w:t>básicas</w:t>
      </w:r>
      <w:r w:rsidRPr="005D71DF">
        <w:rPr>
          <w:rFonts w:ascii="Cambria" w:hAnsi="Cambria"/>
          <w:sz w:val="22"/>
          <w:szCs w:val="22"/>
        </w:rPr>
        <w:t xml:space="preserve"> que dão base a sustentação do orçamento. São elas</w:t>
      </w:r>
      <w:r>
        <w:rPr>
          <w:rFonts w:ascii="Cambria" w:hAnsi="Cambria"/>
          <w:sz w:val="22"/>
          <w:szCs w:val="22"/>
        </w:rPr>
        <w:t>:</w:t>
      </w:r>
      <w:r w:rsidRPr="005D71DF">
        <w:rPr>
          <w:rFonts w:ascii="Cambria" w:hAnsi="Cambria"/>
          <w:sz w:val="22"/>
          <w:szCs w:val="22"/>
        </w:rPr>
        <w:t xml:space="preserve"> o plano</w:t>
      </w:r>
      <w:r>
        <w:rPr>
          <w:rFonts w:ascii="Cambria" w:hAnsi="Cambria"/>
          <w:sz w:val="22"/>
          <w:szCs w:val="22"/>
        </w:rPr>
        <w:t xml:space="preserve"> </w:t>
      </w:r>
      <w:r w:rsidRPr="005D71DF">
        <w:rPr>
          <w:rFonts w:ascii="Cambria" w:hAnsi="Cambria"/>
          <w:sz w:val="22"/>
          <w:szCs w:val="22"/>
        </w:rPr>
        <w:t>plurianual (PPA), a lei de diretriz orçamentária (LDO), lei orçamentária anual (LOA).</w:t>
      </w:r>
    </w:p>
    <w:p w14:paraId="25EF2D80" w14:textId="77777777" w:rsidR="00C033D2" w:rsidRDefault="00C033D2" w:rsidP="00C033D2">
      <w:pPr>
        <w:widowControl w:val="0"/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  <w:r w:rsidRPr="005D71DF">
        <w:rPr>
          <w:rFonts w:ascii="Cambria" w:hAnsi="Cambria"/>
          <w:sz w:val="22"/>
          <w:szCs w:val="22"/>
        </w:rPr>
        <w:t>Há uma relação de subordinação entre elas, sendo que, quanto à abrangência, a LOA deverá guardar estrita observância à LDO e ao PPA, ao passo que a LDO deverá guardar obediência ao PPA</w:t>
      </w:r>
      <w:r>
        <w:rPr>
          <w:rFonts w:ascii="Cambria" w:hAnsi="Cambria"/>
          <w:sz w:val="22"/>
          <w:szCs w:val="22"/>
        </w:rPr>
        <w:t>, sendo esta última peça a mais abrangente.</w:t>
      </w:r>
    </w:p>
    <w:p w14:paraId="63B14876" w14:textId="77777777" w:rsidR="00C033D2" w:rsidRPr="00351328" w:rsidRDefault="00C033D2" w:rsidP="00C033D2">
      <w:pPr>
        <w:widowControl w:val="0"/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  <w:r w:rsidRPr="00351328">
        <w:rPr>
          <w:rFonts w:ascii="Cambria" w:hAnsi="Cambria"/>
          <w:sz w:val="22"/>
          <w:szCs w:val="22"/>
        </w:rPr>
        <w:t xml:space="preserve">O </w:t>
      </w:r>
      <w:r>
        <w:rPr>
          <w:rFonts w:ascii="Cambria" w:hAnsi="Cambria"/>
          <w:sz w:val="22"/>
          <w:szCs w:val="22"/>
        </w:rPr>
        <w:t xml:space="preserve">plano plurianual, que </w:t>
      </w:r>
      <w:r w:rsidRPr="00351328">
        <w:rPr>
          <w:rFonts w:ascii="Cambria" w:hAnsi="Cambria"/>
          <w:sz w:val="22"/>
          <w:szCs w:val="22"/>
        </w:rPr>
        <w:t xml:space="preserve">visa conferir maior estabilidade </w:t>
      </w:r>
      <w:r>
        <w:rPr>
          <w:rFonts w:ascii="Cambria" w:hAnsi="Cambria"/>
          <w:sz w:val="22"/>
          <w:szCs w:val="22"/>
        </w:rPr>
        <w:t>na</w:t>
      </w:r>
      <w:r w:rsidRPr="00351328">
        <w:rPr>
          <w:rFonts w:ascii="Cambria" w:hAnsi="Cambria"/>
          <w:sz w:val="22"/>
          <w:szCs w:val="22"/>
        </w:rPr>
        <w:t xml:space="preserve"> gestão orçamentária</w:t>
      </w:r>
      <w:r>
        <w:rPr>
          <w:rFonts w:ascii="Cambria" w:hAnsi="Cambria"/>
          <w:sz w:val="22"/>
          <w:szCs w:val="22"/>
        </w:rPr>
        <w:t xml:space="preserve">, </w:t>
      </w:r>
      <w:r w:rsidRPr="00351328">
        <w:rPr>
          <w:rFonts w:ascii="Cambria" w:hAnsi="Cambria"/>
          <w:sz w:val="22"/>
          <w:szCs w:val="22"/>
        </w:rPr>
        <w:t>traça o plano estratégico para verificação dos interesses sociais</w:t>
      </w:r>
      <w:r>
        <w:rPr>
          <w:rFonts w:ascii="Cambria" w:hAnsi="Cambria"/>
          <w:sz w:val="22"/>
          <w:szCs w:val="22"/>
        </w:rPr>
        <w:t xml:space="preserve">, </w:t>
      </w:r>
      <w:r w:rsidRPr="00351328">
        <w:rPr>
          <w:rFonts w:ascii="Cambria" w:hAnsi="Cambria"/>
          <w:sz w:val="22"/>
          <w:szCs w:val="22"/>
        </w:rPr>
        <w:t xml:space="preserve">especificando </w:t>
      </w:r>
      <w:r>
        <w:rPr>
          <w:rFonts w:ascii="Cambria" w:hAnsi="Cambria"/>
          <w:sz w:val="22"/>
          <w:szCs w:val="22"/>
        </w:rPr>
        <w:t xml:space="preserve">as diretrizes, objetivos e metas nos termos do art. 165, §1º, da CF. </w:t>
      </w:r>
    </w:p>
    <w:p w14:paraId="2335C337" w14:textId="77777777" w:rsidR="00C033D2" w:rsidRDefault="00C033D2" w:rsidP="00C033D2">
      <w:pPr>
        <w:widowControl w:val="0"/>
        <w:ind w:left="2268"/>
        <w:jc w:val="both"/>
        <w:rPr>
          <w:rFonts w:ascii="Cambria" w:hAnsi="Cambria"/>
        </w:rPr>
      </w:pPr>
    </w:p>
    <w:p w14:paraId="608EE17B" w14:textId="77777777" w:rsidR="00C033D2" w:rsidRPr="00FC19BB" w:rsidRDefault="00C033D2" w:rsidP="00C033D2">
      <w:pPr>
        <w:widowControl w:val="0"/>
        <w:ind w:left="2268"/>
        <w:jc w:val="both"/>
        <w:rPr>
          <w:rFonts w:ascii="Cambria" w:hAnsi="Cambria"/>
        </w:rPr>
      </w:pPr>
      <w:r w:rsidRPr="00FC19BB">
        <w:rPr>
          <w:rFonts w:ascii="Cambria" w:hAnsi="Cambria"/>
        </w:rPr>
        <w:t>CF. Art. 165. Lei de iniciativa do Poder Executivo estabelecerão:</w:t>
      </w:r>
    </w:p>
    <w:p w14:paraId="646D16FB" w14:textId="77777777" w:rsidR="00C033D2" w:rsidRPr="00FC19BB" w:rsidRDefault="00C033D2" w:rsidP="00C033D2">
      <w:pPr>
        <w:widowControl w:val="0"/>
        <w:ind w:left="2268"/>
        <w:jc w:val="both"/>
        <w:rPr>
          <w:rFonts w:ascii="Cambria" w:hAnsi="Cambria"/>
        </w:rPr>
      </w:pPr>
      <w:r w:rsidRPr="00FC19BB">
        <w:rPr>
          <w:rFonts w:ascii="Cambria" w:hAnsi="Cambria"/>
        </w:rPr>
        <w:t>[...]</w:t>
      </w:r>
    </w:p>
    <w:p w14:paraId="48177938" w14:textId="77777777" w:rsidR="00C033D2" w:rsidRPr="00FC19BB" w:rsidRDefault="00C033D2" w:rsidP="00C033D2">
      <w:pPr>
        <w:widowControl w:val="0"/>
        <w:ind w:left="2268"/>
        <w:jc w:val="both"/>
        <w:rPr>
          <w:rFonts w:ascii="Cambria" w:hAnsi="Cambria"/>
        </w:rPr>
      </w:pPr>
      <w:r w:rsidRPr="00FC19BB">
        <w:rPr>
          <w:rFonts w:ascii="Cambria" w:hAnsi="Cambria"/>
        </w:rPr>
        <w:t>§ 1º A lei que instituir o plano plurianual estabelecerá, de forma regionalizada, as diretrizes, objetivos e metas da administração pública federal para as despesas de capital e outras delas decorrentes e para as relativas aos programas de duração continuada.</w:t>
      </w:r>
    </w:p>
    <w:p w14:paraId="4792319C" w14:textId="77777777" w:rsidR="00C033D2" w:rsidRPr="00351328" w:rsidRDefault="00C033D2" w:rsidP="00C033D2">
      <w:pPr>
        <w:widowControl w:val="0"/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  <w:r w:rsidRPr="00351328">
        <w:rPr>
          <w:rFonts w:ascii="Cambria" w:hAnsi="Cambria"/>
          <w:sz w:val="22"/>
          <w:szCs w:val="22"/>
        </w:rPr>
        <w:tab/>
      </w:r>
    </w:p>
    <w:p w14:paraId="4E860676" w14:textId="77777777" w:rsidR="00C033D2" w:rsidRDefault="00C033D2" w:rsidP="00C033D2">
      <w:pPr>
        <w:widowControl w:val="0"/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Em consonância, a Lei de Diretrizes Orçamentárias tem por objetivo efetivar uma espécie de “ponte” entre o planejamento e o operacional. Se diferencia do plano plurianual ao passo que elege as principais políticas públicas que serão executadas no curto prazo nos termos do art. 165, §2º da CF.</w:t>
      </w:r>
    </w:p>
    <w:p w14:paraId="06B2C013" w14:textId="77777777" w:rsidR="00C033D2" w:rsidRDefault="00C033D2" w:rsidP="00C033D2">
      <w:pPr>
        <w:widowControl w:val="0"/>
        <w:ind w:left="2410"/>
        <w:jc w:val="both"/>
        <w:rPr>
          <w:rFonts w:ascii="Cambria" w:hAnsi="Cambria"/>
        </w:rPr>
      </w:pPr>
    </w:p>
    <w:p w14:paraId="127F5F43" w14:textId="77777777" w:rsidR="00C033D2" w:rsidRPr="00FC19BB" w:rsidRDefault="00C033D2" w:rsidP="00C033D2">
      <w:pPr>
        <w:widowControl w:val="0"/>
        <w:ind w:left="2268"/>
        <w:jc w:val="both"/>
        <w:rPr>
          <w:rFonts w:ascii="Cambria" w:hAnsi="Cambria"/>
        </w:rPr>
      </w:pPr>
      <w:r w:rsidRPr="00FC19BB">
        <w:rPr>
          <w:rFonts w:ascii="Cambria" w:hAnsi="Cambria"/>
        </w:rPr>
        <w:t>Art. 165. [...]</w:t>
      </w:r>
    </w:p>
    <w:p w14:paraId="3B765652" w14:textId="77777777" w:rsidR="00C033D2" w:rsidRPr="00FC19BB" w:rsidRDefault="00C033D2" w:rsidP="00C033D2">
      <w:pPr>
        <w:widowControl w:val="0"/>
        <w:ind w:left="2268"/>
        <w:jc w:val="both"/>
        <w:rPr>
          <w:rFonts w:ascii="Cambria" w:hAnsi="Cambria"/>
        </w:rPr>
      </w:pPr>
      <w:r w:rsidRPr="00FC19BB">
        <w:rPr>
          <w:rFonts w:ascii="Cambria" w:hAnsi="Cambria"/>
        </w:rPr>
        <w:t>[...]</w:t>
      </w:r>
    </w:p>
    <w:p w14:paraId="45DA5E7B" w14:textId="77777777" w:rsidR="00C033D2" w:rsidRPr="00FC19BB" w:rsidRDefault="00C033D2" w:rsidP="00C033D2">
      <w:pPr>
        <w:widowControl w:val="0"/>
        <w:ind w:left="2268"/>
        <w:jc w:val="both"/>
        <w:rPr>
          <w:rFonts w:ascii="Cambria" w:hAnsi="Cambria"/>
        </w:rPr>
      </w:pPr>
      <w:r w:rsidRPr="00FC19BB">
        <w:rPr>
          <w:rFonts w:ascii="Cambria" w:hAnsi="Cambria"/>
        </w:rPr>
        <w:t xml:space="preserve">§ 2º A lei de diretrizes orçamentárias compreenderá as metas e prioridades da administração pública federal, incluindo as despesas de capital para o exercício financeiro </w:t>
      </w:r>
      <w:proofErr w:type="spellStart"/>
      <w:r w:rsidRPr="00FC19BB">
        <w:rPr>
          <w:rFonts w:ascii="Cambria" w:hAnsi="Cambria"/>
        </w:rPr>
        <w:t>subseqüente</w:t>
      </w:r>
      <w:proofErr w:type="spellEnd"/>
      <w:r w:rsidRPr="00FC19BB">
        <w:rPr>
          <w:rFonts w:ascii="Cambria" w:hAnsi="Cambria"/>
        </w:rPr>
        <w:t>, orientará a elaboração da lei orçamentária anual, disporá sobre as alterações na legislação tributária e estabelecerá a política de aplicação das agências financeiras oficiais de fomento.</w:t>
      </w:r>
    </w:p>
    <w:p w14:paraId="65677497" w14:textId="77777777" w:rsidR="00C033D2" w:rsidRDefault="00C033D2" w:rsidP="00C033D2">
      <w:pPr>
        <w:widowControl w:val="0"/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</w:p>
    <w:p w14:paraId="4CF0B1E0" w14:textId="77777777" w:rsidR="00C033D2" w:rsidRDefault="00C033D2" w:rsidP="00C033D2">
      <w:pPr>
        <w:widowControl w:val="0"/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Por fim, a Lei Orçamentária Anual consiste na lei de execução das </w:t>
      </w:r>
      <w:r>
        <w:rPr>
          <w:rFonts w:ascii="Cambria" w:hAnsi="Cambria"/>
          <w:sz w:val="22"/>
          <w:szCs w:val="22"/>
        </w:rPr>
        <w:lastRenderedPageBreak/>
        <w:t>diretrizes, objetivos e metas da lei de diretrizes orçamentária e das prioridades do plano plurianual, definindo a política de gastos através da fixação de receitas e estimativa de receitas.</w:t>
      </w:r>
    </w:p>
    <w:p w14:paraId="48E4C33A" w14:textId="77777777" w:rsidR="00C033D2" w:rsidRDefault="00C033D2" w:rsidP="00C033D2">
      <w:pPr>
        <w:widowControl w:val="0"/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Dito isso, observamos que o presente projeto se lastreia na necessidade de aprovação desta importante peça orçamentária do Município através da fixação de despesas e estimativa de receitas nos termos em que a matéria projetada especifica.</w:t>
      </w:r>
    </w:p>
    <w:p w14:paraId="0B2274A5" w14:textId="77777777" w:rsidR="00C033D2" w:rsidRDefault="00C033D2" w:rsidP="00C033D2">
      <w:pPr>
        <w:widowControl w:val="0"/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Quantos aos princípios básicos desta peça orçamentária, vale observar que a</w:t>
      </w:r>
      <w:r w:rsidRPr="008179A5">
        <w:rPr>
          <w:rFonts w:ascii="Cambria" w:hAnsi="Cambria"/>
          <w:sz w:val="22"/>
          <w:szCs w:val="22"/>
        </w:rPr>
        <w:t xml:space="preserve">ssim como todos os demais ramos do direito público, as finanças públicas deverão estar previstas necessariamente em </w:t>
      </w:r>
      <w:r>
        <w:rPr>
          <w:rFonts w:ascii="Cambria" w:hAnsi="Cambria"/>
          <w:sz w:val="22"/>
          <w:szCs w:val="22"/>
        </w:rPr>
        <w:t>l</w:t>
      </w:r>
      <w:r w:rsidRPr="008179A5">
        <w:rPr>
          <w:rFonts w:ascii="Cambria" w:hAnsi="Cambria"/>
          <w:sz w:val="22"/>
          <w:szCs w:val="22"/>
        </w:rPr>
        <w:t>ei</w:t>
      </w:r>
      <w:r>
        <w:rPr>
          <w:rFonts w:ascii="Cambria" w:hAnsi="Cambria"/>
          <w:sz w:val="22"/>
          <w:szCs w:val="22"/>
        </w:rPr>
        <w:t>, sendo vedado</w:t>
      </w:r>
      <w:r w:rsidRPr="008179A5">
        <w:rPr>
          <w:rFonts w:ascii="Cambria" w:hAnsi="Cambria"/>
          <w:sz w:val="22"/>
          <w:szCs w:val="22"/>
        </w:rPr>
        <w:t xml:space="preserve"> ao gestor executar qualquer despesa sem previsão legal</w:t>
      </w:r>
      <w:r>
        <w:rPr>
          <w:rFonts w:ascii="Cambria" w:hAnsi="Cambria"/>
          <w:sz w:val="22"/>
          <w:szCs w:val="22"/>
        </w:rPr>
        <w:t xml:space="preserve"> (Art. 167, I, CF).</w:t>
      </w:r>
    </w:p>
    <w:p w14:paraId="43E198FC" w14:textId="77777777" w:rsidR="00C033D2" w:rsidRDefault="00C033D2" w:rsidP="00C033D2">
      <w:pPr>
        <w:widowControl w:val="0"/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  <w:r w:rsidRPr="008179A5">
        <w:rPr>
          <w:rFonts w:ascii="Cambria" w:hAnsi="Cambria"/>
          <w:sz w:val="22"/>
          <w:szCs w:val="22"/>
        </w:rPr>
        <w:t>Por questões de coerência, a lei orçamentária conterá exclusivamente matérias orçamentárias, e nada mais. O princípio da exclusividade impõe que a lei do orçamento não contenha matérias estranhas ao direito financeiro</w:t>
      </w:r>
      <w:r>
        <w:rPr>
          <w:rFonts w:ascii="Cambria" w:hAnsi="Cambria"/>
          <w:sz w:val="22"/>
          <w:szCs w:val="22"/>
        </w:rPr>
        <w:t>. Exceção se faz para a autorização de créditos suplementares e a contratação de operações de crédito, ainda que por antecipação de receitas (Art. 165, §8º, CF).</w:t>
      </w:r>
    </w:p>
    <w:p w14:paraId="40B6DA7B" w14:textId="77777777" w:rsidR="00C033D2" w:rsidRDefault="00C033D2" w:rsidP="00C033D2">
      <w:pPr>
        <w:widowControl w:val="0"/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  <w:r w:rsidRPr="00C87154">
        <w:rPr>
          <w:rFonts w:ascii="Cambria" w:hAnsi="Cambria"/>
          <w:sz w:val="22"/>
          <w:szCs w:val="22"/>
        </w:rPr>
        <w:t xml:space="preserve">O orçamento público é elaborado sob o primado da supremacia do interesse público sobre o particular. Nesse espeque, as alocações de recursos são feitas de maneira macro, beneficiando todos os administrados envolvidos naquela situação fática pré-definida. A programação vem a se referir a </w:t>
      </w:r>
      <w:proofErr w:type="gramStart"/>
      <w:r w:rsidRPr="00C87154">
        <w:rPr>
          <w:rFonts w:ascii="Cambria" w:hAnsi="Cambria"/>
          <w:sz w:val="22"/>
          <w:szCs w:val="22"/>
        </w:rPr>
        <w:t>esta macro</w:t>
      </w:r>
      <w:proofErr w:type="gramEnd"/>
      <w:r>
        <w:rPr>
          <w:rFonts w:ascii="Cambria" w:hAnsi="Cambria"/>
          <w:sz w:val="22"/>
          <w:szCs w:val="22"/>
        </w:rPr>
        <w:t xml:space="preserve"> </w:t>
      </w:r>
      <w:r w:rsidRPr="00C87154">
        <w:rPr>
          <w:rFonts w:ascii="Cambria" w:hAnsi="Cambria"/>
          <w:sz w:val="22"/>
          <w:szCs w:val="22"/>
        </w:rPr>
        <w:t>alocação de recursos visando o atingimento de uma finalidade social e de interesse público. Decorre também do planejamento das ações a serem executados em prol da comunidade.</w:t>
      </w:r>
    </w:p>
    <w:p w14:paraId="41E87FD8" w14:textId="77777777" w:rsidR="00C033D2" w:rsidRDefault="00C033D2" w:rsidP="00C033D2">
      <w:pPr>
        <w:widowControl w:val="0"/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  <w:r w:rsidRPr="00C87154">
        <w:rPr>
          <w:rFonts w:ascii="Cambria" w:hAnsi="Cambria"/>
          <w:sz w:val="22"/>
          <w:szCs w:val="22"/>
        </w:rPr>
        <w:t>Pelo princípio do equilíbrio orçamentário busca-se compatibilizar receitas e despesas. Observação importante se faz que ainda assim o orçamento poderá prever a possibilidade de a entidade contrair empréstimo. Isso não significa violação ao princípio do equilíbrio orçamentário, desde que se demonstre a forma como a entidade irá arcar com o empréstimo durante os próximos exercícios.</w:t>
      </w:r>
    </w:p>
    <w:p w14:paraId="0F7D4F2C" w14:textId="77777777" w:rsidR="00C033D2" w:rsidRDefault="00C033D2" w:rsidP="00C033D2">
      <w:pPr>
        <w:widowControl w:val="0"/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Pelo princípio da </w:t>
      </w:r>
      <w:r w:rsidRPr="00C87154">
        <w:rPr>
          <w:rFonts w:ascii="Cambria" w:hAnsi="Cambria"/>
          <w:sz w:val="22"/>
          <w:szCs w:val="22"/>
        </w:rPr>
        <w:t xml:space="preserve">Anualidade a previsão orçamentária </w:t>
      </w:r>
      <w:r>
        <w:rPr>
          <w:rFonts w:ascii="Cambria" w:hAnsi="Cambria"/>
          <w:sz w:val="22"/>
          <w:szCs w:val="22"/>
        </w:rPr>
        <w:t xml:space="preserve">deverá ser </w:t>
      </w:r>
      <w:r w:rsidRPr="00C87154">
        <w:rPr>
          <w:rFonts w:ascii="Cambria" w:hAnsi="Cambria"/>
          <w:sz w:val="22"/>
          <w:szCs w:val="22"/>
        </w:rPr>
        <w:t>anual. O intervalo de tempo em que haverá as previsões de receitas e despesas</w:t>
      </w:r>
      <w:r>
        <w:rPr>
          <w:rFonts w:ascii="Cambria" w:hAnsi="Cambria"/>
          <w:sz w:val="22"/>
          <w:szCs w:val="22"/>
        </w:rPr>
        <w:t xml:space="preserve"> será coincidente com o calendário civil nos termos do art. 34 da Lei Federal nº 4.320/64.</w:t>
      </w:r>
    </w:p>
    <w:p w14:paraId="55530C52" w14:textId="77777777" w:rsidR="00C033D2" w:rsidRDefault="00C033D2" w:rsidP="00C033D2">
      <w:pPr>
        <w:widowControl w:val="0"/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Em razão do princípio da Unidade a lei do orçamento deverá advir em um único orçamento para todos os entes. </w:t>
      </w:r>
      <w:r w:rsidRPr="0062607E">
        <w:rPr>
          <w:rFonts w:ascii="Cambria" w:hAnsi="Cambria"/>
          <w:sz w:val="22"/>
          <w:szCs w:val="22"/>
        </w:rPr>
        <w:t>O orçamento das autarquias, fundações e estatais dependentes devem estar consolidadas na mesma peça orçamentária da entidade política a qual se vinculam, dado o princípio da unidade.</w:t>
      </w:r>
    </w:p>
    <w:p w14:paraId="6E0C8E9C" w14:textId="77777777" w:rsidR="00C033D2" w:rsidRDefault="00C033D2" w:rsidP="00C033D2">
      <w:pPr>
        <w:widowControl w:val="0"/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  <w:r w:rsidRPr="0062607E">
        <w:rPr>
          <w:rFonts w:ascii="Cambria" w:hAnsi="Cambria"/>
          <w:sz w:val="22"/>
          <w:szCs w:val="22"/>
        </w:rPr>
        <w:t xml:space="preserve">Todas as receitas e despesas deverão fazer parte do orçamento. Trata-se de centralização em uma única peça orçamentária toda a fixação de despesas e toda </w:t>
      </w:r>
      <w:r w:rsidRPr="0062607E">
        <w:rPr>
          <w:rFonts w:ascii="Cambria" w:hAnsi="Cambria"/>
          <w:sz w:val="22"/>
          <w:szCs w:val="22"/>
        </w:rPr>
        <w:lastRenderedPageBreak/>
        <w:t>a previsão de arrecadação.</w:t>
      </w:r>
    </w:p>
    <w:p w14:paraId="72C7FB4B" w14:textId="77777777" w:rsidR="00C033D2" w:rsidRDefault="00C033D2" w:rsidP="00C033D2">
      <w:pPr>
        <w:widowControl w:val="0"/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Em razão do princípio do orçamento bruto, o orçamento deverá prever o ingresso de receitas sem quaisquer deduções e diante do </w:t>
      </w:r>
      <w:proofErr w:type="spellStart"/>
      <w:r>
        <w:rPr>
          <w:rFonts w:ascii="Cambria" w:hAnsi="Cambria"/>
          <w:sz w:val="22"/>
          <w:szCs w:val="22"/>
        </w:rPr>
        <w:t>principio</w:t>
      </w:r>
      <w:proofErr w:type="spellEnd"/>
      <w:r>
        <w:rPr>
          <w:rFonts w:ascii="Cambria" w:hAnsi="Cambria"/>
          <w:sz w:val="22"/>
          <w:szCs w:val="22"/>
        </w:rPr>
        <w:t xml:space="preserve"> da transparência, a discussão e a execução orçamentária deverá ser </w:t>
      </w:r>
      <w:proofErr w:type="gramStart"/>
      <w:r>
        <w:rPr>
          <w:rFonts w:ascii="Cambria" w:hAnsi="Cambria"/>
          <w:sz w:val="22"/>
          <w:szCs w:val="22"/>
        </w:rPr>
        <w:t>fiscalizada</w:t>
      </w:r>
      <w:proofErr w:type="gramEnd"/>
      <w:r>
        <w:rPr>
          <w:rFonts w:ascii="Cambria" w:hAnsi="Cambria"/>
          <w:sz w:val="22"/>
          <w:szCs w:val="22"/>
        </w:rPr>
        <w:t xml:space="preserve"> pela população.</w:t>
      </w:r>
    </w:p>
    <w:p w14:paraId="7D005990" w14:textId="77777777" w:rsidR="00C033D2" w:rsidRDefault="00C033D2" w:rsidP="00C033D2">
      <w:pPr>
        <w:widowControl w:val="0"/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Quanto à especificação, o</w:t>
      </w:r>
      <w:r w:rsidRPr="0062607E">
        <w:rPr>
          <w:rFonts w:ascii="Cambria" w:hAnsi="Cambria"/>
          <w:sz w:val="22"/>
          <w:szCs w:val="22"/>
        </w:rPr>
        <w:t xml:space="preserve"> orçamento deve ser direto e específico, sem conteúdo genérico ou estipulação de gastos gerais sem previsão específica de valores. Trata-se de vedação às dotações globais para atender necessidades indistintas</w:t>
      </w:r>
      <w:r>
        <w:rPr>
          <w:rFonts w:ascii="Cambria" w:hAnsi="Cambria"/>
          <w:sz w:val="22"/>
          <w:szCs w:val="22"/>
        </w:rPr>
        <w:t xml:space="preserve"> (Art. 5º, §4º da Lei de Responsabilidade Fiscal). Exceção se faz, aos programas especiais de trabalho e à reserva de contingência (Art. 20, parágrafo único, LRF).</w:t>
      </w:r>
    </w:p>
    <w:p w14:paraId="1178EA1E" w14:textId="77777777" w:rsidR="00C033D2" w:rsidRDefault="00C033D2" w:rsidP="00C033D2">
      <w:pPr>
        <w:widowControl w:val="0"/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Sem prejuízo de outros princípios não especificados expressamente, observa-se que, quanto ao conteúdo, s.m.j., o presente projeto apresenta-se adequado quanto a tais aspectos jurídicos e </w:t>
      </w:r>
      <w:proofErr w:type="spellStart"/>
      <w:r>
        <w:rPr>
          <w:rFonts w:ascii="Cambria" w:hAnsi="Cambria"/>
          <w:sz w:val="22"/>
          <w:szCs w:val="22"/>
        </w:rPr>
        <w:t>principiológicos</w:t>
      </w:r>
      <w:proofErr w:type="spellEnd"/>
      <w:r>
        <w:rPr>
          <w:rFonts w:ascii="Cambria" w:hAnsi="Cambria"/>
          <w:sz w:val="22"/>
          <w:szCs w:val="22"/>
        </w:rPr>
        <w:t xml:space="preserve">. </w:t>
      </w:r>
    </w:p>
    <w:p w14:paraId="66BA3DAA" w14:textId="77777777" w:rsidR="00C033D2" w:rsidRPr="002148A5" w:rsidRDefault="00C033D2" w:rsidP="00C033D2">
      <w:pPr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Ante o exposto</w:t>
      </w:r>
      <w:r w:rsidRPr="002148A5">
        <w:rPr>
          <w:rFonts w:ascii="Cambria" w:hAnsi="Cambria"/>
          <w:sz w:val="22"/>
          <w:szCs w:val="22"/>
        </w:rPr>
        <w:t xml:space="preserve">, </w:t>
      </w:r>
      <w:r>
        <w:rPr>
          <w:rFonts w:ascii="Cambria" w:hAnsi="Cambria"/>
          <w:sz w:val="22"/>
          <w:szCs w:val="22"/>
        </w:rPr>
        <w:t>diante da regularidade formal e material do processo legislativo em curso, opino pelo regular prosseguimento do feito</w:t>
      </w:r>
      <w:r w:rsidRPr="002148A5">
        <w:rPr>
          <w:rFonts w:ascii="Cambria" w:hAnsi="Cambria"/>
          <w:sz w:val="22"/>
          <w:szCs w:val="22"/>
        </w:rPr>
        <w:t xml:space="preserve">. </w:t>
      </w:r>
    </w:p>
    <w:p w14:paraId="11DC8883" w14:textId="77777777" w:rsidR="00C033D2" w:rsidRDefault="00C033D2" w:rsidP="00C033D2">
      <w:pPr>
        <w:widowControl w:val="0"/>
        <w:spacing w:line="360" w:lineRule="auto"/>
        <w:ind w:firstLine="2268"/>
        <w:jc w:val="both"/>
        <w:rPr>
          <w:rFonts w:ascii="Cambria" w:hAnsi="Cambria"/>
          <w:sz w:val="22"/>
          <w:szCs w:val="22"/>
        </w:rPr>
      </w:pPr>
    </w:p>
    <w:p w14:paraId="546DD6B1" w14:textId="77777777" w:rsidR="00C033D2" w:rsidRDefault="00C033D2" w:rsidP="00C033D2">
      <w:pPr>
        <w:pStyle w:val="paragraph"/>
        <w:widowControl w:val="0"/>
        <w:spacing w:before="0" w:beforeAutospacing="0" w:after="0" w:afterAutospacing="0" w:line="360" w:lineRule="auto"/>
        <w:ind w:left="564" w:firstLine="1704"/>
        <w:jc w:val="both"/>
        <w:textAlignment w:val="baseline"/>
        <w:rPr>
          <w:rStyle w:val="normaltextrun"/>
          <w:rFonts w:ascii="Lucida Calligraphy" w:hAnsi="Lucida Calligraphy" w:cs="Courier New"/>
          <w:color w:val="000000"/>
          <w:sz w:val="22"/>
          <w:szCs w:val="22"/>
          <w:bdr w:val="none" w:sz="0" w:space="0" w:color="auto" w:frame="1"/>
        </w:rPr>
      </w:pPr>
      <w:r w:rsidRPr="002148A5">
        <w:rPr>
          <w:rStyle w:val="normaltextrun"/>
          <w:rFonts w:ascii="Lucida Calligraphy" w:hAnsi="Lucida Calligraphy" w:cs="Courier New"/>
          <w:color w:val="000000"/>
          <w:sz w:val="22"/>
          <w:szCs w:val="22"/>
          <w:bdr w:val="none" w:sz="0" w:space="0" w:color="auto" w:frame="1"/>
        </w:rPr>
        <w:t xml:space="preserve">Salvo melhor juízo. </w:t>
      </w:r>
    </w:p>
    <w:p w14:paraId="14D21A9F" w14:textId="77777777" w:rsidR="00C033D2" w:rsidRPr="002148A5" w:rsidRDefault="00C033D2" w:rsidP="00C033D2">
      <w:pPr>
        <w:pStyle w:val="paragraph"/>
        <w:widowControl w:val="0"/>
        <w:spacing w:before="0" w:beforeAutospacing="0" w:after="0" w:afterAutospacing="0" w:line="360" w:lineRule="auto"/>
        <w:ind w:left="564" w:firstLine="1704"/>
        <w:jc w:val="both"/>
        <w:textAlignment w:val="baseline"/>
        <w:rPr>
          <w:rStyle w:val="normaltextrun"/>
          <w:rFonts w:ascii="Lucida Calligraphy" w:hAnsi="Lucida Calligraphy" w:cs="Courier New"/>
          <w:color w:val="000000"/>
          <w:sz w:val="22"/>
          <w:szCs w:val="22"/>
          <w:bdr w:val="none" w:sz="0" w:space="0" w:color="auto" w:frame="1"/>
        </w:rPr>
      </w:pPr>
    </w:p>
    <w:p w14:paraId="5B5402D4" w14:textId="77777777" w:rsidR="00C033D2" w:rsidRPr="002148A5" w:rsidRDefault="00C033D2" w:rsidP="00C033D2">
      <w:pPr>
        <w:pStyle w:val="paragraph"/>
        <w:widowControl w:val="0"/>
        <w:spacing w:before="0" w:beforeAutospacing="0" w:after="0" w:afterAutospacing="0" w:line="360" w:lineRule="auto"/>
        <w:ind w:firstLine="2268"/>
        <w:jc w:val="both"/>
        <w:textAlignment w:val="baseline"/>
        <w:rPr>
          <w:rStyle w:val="normaltextrun"/>
          <w:rFonts w:ascii="Cambria" w:hAnsi="Cambria" w:cs="Courier New"/>
          <w:color w:val="000000"/>
          <w:sz w:val="22"/>
          <w:szCs w:val="22"/>
          <w:bdr w:val="none" w:sz="0" w:space="0" w:color="auto" w:frame="1"/>
        </w:rPr>
      </w:pPr>
      <w:r w:rsidRPr="002148A5">
        <w:rPr>
          <w:rStyle w:val="normaltextrun"/>
          <w:rFonts w:ascii="Cambria" w:hAnsi="Cambria" w:cs="Courier New"/>
          <w:color w:val="000000"/>
          <w:sz w:val="22"/>
          <w:szCs w:val="22"/>
          <w:bdr w:val="none" w:sz="0" w:space="0" w:color="auto" w:frame="1"/>
        </w:rPr>
        <w:t xml:space="preserve">Botucatu/SP, </w:t>
      </w:r>
      <w:r>
        <w:rPr>
          <w:rStyle w:val="normaltextrun"/>
          <w:rFonts w:ascii="Cambria" w:hAnsi="Cambria" w:cs="Courier New"/>
          <w:color w:val="000000"/>
          <w:sz w:val="22"/>
          <w:szCs w:val="22"/>
          <w:bdr w:val="none" w:sz="0" w:space="0" w:color="auto" w:frame="1"/>
        </w:rPr>
        <w:t>15 de outubro de 2020.</w:t>
      </w:r>
    </w:p>
    <w:p w14:paraId="40FD5A47" w14:textId="77777777" w:rsidR="00C033D2" w:rsidRDefault="00C033D2" w:rsidP="00C033D2">
      <w:pPr>
        <w:pStyle w:val="paragraph"/>
        <w:widowControl w:val="0"/>
        <w:spacing w:before="0" w:beforeAutospacing="0" w:after="0" w:afterAutospacing="0" w:line="360" w:lineRule="auto"/>
        <w:ind w:firstLine="2835"/>
        <w:jc w:val="both"/>
        <w:textAlignment w:val="baseline"/>
        <w:rPr>
          <w:rStyle w:val="normaltextrun"/>
          <w:rFonts w:ascii="Cambria" w:hAnsi="Cambria" w:cs="Courier New"/>
          <w:color w:val="000000"/>
          <w:bdr w:val="none" w:sz="0" w:space="0" w:color="auto" w:frame="1"/>
        </w:rPr>
      </w:pPr>
    </w:p>
    <w:p w14:paraId="527D38C6" w14:textId="77777777" w:rsidR="00C033D2" w:rsidRDefault="00C033D2" w:rsidP="00C033D2">
      <w:pPr>
        <w:pStyle w:val="paragraph"/>
        <w:widowControl w:val="0"/>
        <w:spacing w:before="0" w:beforeAutospacing="0" w:after="0" w:afterAutospacing="0"/>
        <w:jc w:val="center"/>
        <w:textAlignment w:val="baseline"/>
        <w:rPr>
          <w:rStyle w:val="normaltextrun"/>
          <w:rFonts w:ascii="Cambria" w:hAnsi="Cambria" w:cs="Courier New"/>
          <w:b/>
          <w:i/>
          <w:color w:val="000000"/>
          <w:sz w:val="30"/>
          <w:szCs w:val="30"/>
          <w:bdr w:val="none" w:sz="0" w:space="0" w:color="auto" w:frame="1"/>
        </w:rPr>
      </w:pPr>
    </w:p>
    <w:p w14:paraId="28F7DBBF" w14:textId="77777777" w:rsidR="00C033D2" w:rsidRPr="006842E5" w:rsidRDefault="00C033D2" w:rsidP="00C033D2">
      <w:pPr>
        <w:pStyle w:val="paragraph"/>
        <w:widowControl w:val="0"/>
        <w:spacing w:before="0" w:beforeAutospacing="0" w:after="0" w:afterAutospacing="0"/>
        <w:jc w:val="center"/>
        <w:textAlignment w:val="baseline"/>
        <w:rPr>
          <w:rStyle w:val="normaltextrun"/>
          <w:rFonts w:ascii="Cambria" w:hAnsi="Cambria" w:cs="Courier New"/>
          <w:b/>
          <w:i/>
          <w:color w:val="000000"/>
          <w:sz w:val="30"/>
          <w:szCs w:val="30"/>
          <w:bdr w:val="none" w:sz="0" w:space="0" w:color="auto" w:frame="1"/>
        </w:rPr>
      </w:pPr>
      <w:r w:rsidRPr="006842E5">
        <w:rPr>
          <w:rStyle w:val="normaltextrun"/>
          <w:rFonts w:ascii="Cambria" w:hAnsi="Cambria" w:cs="Courier New"/>
          <w:b/>
          <w:i/>
          <w:color w:val="000000"/>
          <w:sz w:val="30"/>
          <w:szCs w:val="30"/>
          <w:bdr w:val="none" w:sz="0" w:space="0" w:color="auto" w:frame="1"/>
        </w:rPr>
        <w:t xml:space="preserve">- Alisson R. </w:t>
      </w:r>
      <w:proofErr w:type="spellStart"/>
      <w:r w:rsidRPr="006842E5">
        <w:rPr>
          <w:rStyle w:val="normaltextrun"/>
          <w:rFonts w:ascii="Cambria" w:hAnsi="Cambria" w:cs="Courier New"/>
          <w:b/>
          <w:i/>
          <w:color w:val="000000"/>
          <w:sz w:val="30"/>
          <w:szCs w:val="30"/>
          <w:bdr w:val="none" w:sz="0" w:space="0" w:color="auto" w:frame="1"/>
        </w:rPr>
        <w:t>Forti</w:t>
      </w:r>
      <w:proofErr w:type="spellEnd"/>
      <w:r w:rsidRPr="006842E5">
        <w:rPr>
          <w:rStyle w:val="normaltextrun"/>
          <w:rFonts w:ascii="Cambria" w:hAnsi="Cambria" w:cs="Courier New"/>
          <w:b/>
          <w:i/>
          <w:color w:val="000000"/>
          <w:sz w:val="30"/>
          <w:szCs w:val="30"/>
          <w:bdr w:val="none" w:sz="0" w:space="0" w:color="auto" w:frame="1"/>
        </w:rPr>
        <w:t xml:space="preserve"> </w:t>
      </w:r>
      <w:proofErr w:type="spellStart"/>
      <w:r w:rsidRPr="006842E5">
        <w:rPr>
          <w:rStyle w:val="normaltextrun"/>
          <w:rFonts w:ascii="Cambria" w:hAnsi="Cambria" w:cs="Courier New"/>
          <w:b/>
          <w:i/>
          <w:color w:val="000000"/>
          <w:sz w:val="30"/>
          <w:szCs w:val="30"/>
          <w:bdr w:val="none" w:sz="0" w:space="0" w:color="auto" w:frame="1"/>
        </w:rPr>
        <w:t>Quessada</w:t>
      </w:r>
      <w:proofErr w:type="spellEnd"/>
      <w:r w:rsidRPr="006842E5">
        <w:rPr>
          <w:rStyle w:val="normaltextrun"/>
          <w:rFonts w:ascii="Cambria" w:hAnsi="Cambria" w:cs="Courier New"/>
          <w:b/>
          <w:i/>
          <w:color w:val="000000"/>
          <w:sz w:val="30"/>
          <w:szCs w:val="30"/>
          <w:bdr w:val="none" w:sz="0" w:space="0" w:color="auto" w:frame="1"/>
        </w:rPr>
        <w:t xml:space="preserve"> –</w:t>
      </w:r>
    </w:p>
    <w:p w14:paraId="47B603BB" w14:textId="77777777" w:rsidR="00C033D2" w:rsidRDefault="00C033D2" w:rsidP="00C033D2">
      <w:pPr>
        <w:pStyle w:val="paragraph"/>
        <w:widowControl w:val="0"/>
        <w:spacing w:before="0" w:beforeAutospacing="0" w:after="0" w:afterAutospacing="0"/>
        <w:jc w:val="center"/>
        <w:textAlignment w:val="baseline"/>
        <w:rPr>
          <w:rStyle w:val="normaltextrun"/>
          <w:rFonts w:ascii="Cambria" w:hAnsi="Cambria" w:cs="Courier New"/>
          <w:i/>
          <w:color w:val="000000"/>
          <w:bdr w:val="none" w:sz="0" w:space="0" w:color="auto" w:frame="1"/>
        </w:rPr>
      </w:pPr>
      <w:r w:rsidRPr="007C2BA2">
        <w:rPr>
          <w:rStyle w:val="normaltextrun"/>
          <w:rFonts w:ascii="Cambria" w:hAnsi="Cambria" w:cs="Courier New"/>
          <w:i/>
          <w:color w:val="000000"/>
          <w:bdr w:val="none" w:sz="0" w:space="0" w:color="auto" w:frame="1"/>
        </w:rPr>
        <w:t xml:space="preserve">Procurador </w:t>
      </w:r>
      <w:r>
        <w:rPr>
          <w:rStyle w:val="normaltextrun"/>
          <w:rFonts w:ascii="Cambria" w:hAnsi="Cambria" w:cs="Courier New"/>
          <w:i/>
          <w:color w:val="000000"/>
          <w:bdr w:val="none" w:sz="0" w:space="0" w:color="auto" w:frame="1"/>
        </w:rPr>
        <w:t>Jurídico Designado</w:t>
      </w:r>
    </w:p>
    <w:p w14:paraId="2CB9F281" w14:textId="77777777" w:rsidR="00C033D2" w:rsidRPr="00867C41" w:rsidRDefault="00C033D2" w:rsidP="00C033D2">
      <w:pPr>
        <w:pStyle w:val="paragraph"/>
        <w:widowControl w:val="0"/>
        <w:spacing w:before="0" w:beforeAutospacing="0" w:after="0" w:afterAutospacing="0"/>
        <w:jc w:val="center"/>
        <w:textAlignment w:val="baseline"/>
        <w:rPr>
          <w:rFonts w:ascii="Cambria" w:hAnsi="Cambria"/>
        </w:rPr>
      </w:pPr>
      <w:bookmarkStart w:id="1" w:name="_Hlk40366187"/>
      <w:r w:rsidRPr="004F3823">
        <w:rPr>
          <w:rStyle w:val="normaltextrun"/>
          <w:rFonts w:ascii="Cambria" w:hAnsi="Cambria" w:cs="Courier New"/>
          <w:i/>
          <w:color w:val="000000"/>
          <w:sz w:val="20"/>
          <w:szCs w:val="20"/>
          <w:bdr w:val="none" w:sz="0" w:space="0" w:color="auto" w:frame="1"/>
        </w:rPr>
        <w:t>OAB/SP nº 292.684</w:t>
      </w:r>
      <w:bookmarkEnd w:id="1"/>
    </w:p>
    <w:p w14:paraId="6FD74CC2" w14:textId="77777777" w:rsidR="00206E3B" w:rsidRDefault="00206E3B">
      <w:pPr>
        <w:rPr>
          <w:rFonts w:ascii="Verdana" w:hAnsi="Verdana"/>
          <w:b/>
          <w:sz w:val="24"/>
          <w:u w:val="single"/>
        </w:rPr>
      </w:pPr>
    </w:p>
    <w:sectPr w:rsidR="00206E3B">
      <w:headerReference w:type="default" r:id="rId7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B6F48F" w14:textId="77777777" w:rsidR="0010511D" w:rsidRDefault="0010511D">
      <w:r>
        <w:separator/>
      </w:r>
    </w:p>
  </w:endnote>
  <w:endnote w:type="continuationSeparator" w:id="0">
    <w:p w14:paraId="57AE7E38" w14:textId="77777777" w:rsidR="0010511D" w:rsidRDefault="00105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32EECE" w14:textId="77777777" w:rsidR="0010511D" w:rsidRDefault="0010511D">
      <w:r>
        <w:separator/>
      </w:r>
    </w:p>
  </w:footnote>
  <w:footnote w:type="continuationSeparator" w:id="0">
    <w:p w14:paraId="4343171F" w14:textId="77777777" w:rsidR="0010511D" w:rsidRDefault="001051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F5BDE8" w14:textId="77777777" w:rsidR="00206E3B" w:rsidRDefault="00206E3B">
    <w:pPr>
      <w:jc w:val="center"/>
      <w:rPr>
        <w:b/>
        <w:sz w:val="28"/>
      </w:rPr>
    </w:pPr>
  </w:p>
  <w:p w14:paraId="5E834B64" w14:textId="77777777" w:rsidR="00206E3B" w:rsidRDefault="00206E3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F1F8B"/>
    <w:multiLevelType w:val="hybridMultilevel"/>
    <w:tmpl w:val="C07A84F6"/>
    <w:lvl w:ilvl="0" w:tplc="105C03CA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B1453C"/>
    <w:multiLevelType w:val="multilevel"/>
    <w:tmpl w:val="6BD0A7BC"/>
    <w:lvl w:ilvl="0">
      <w:start w:val="1"/>
      <w:numFmt w:val="decimal"/>
      <w:lvlText w:val="%1) "/>
      <w:legacy w:legacy="1" w:legacySpace="0" w:legacyIndent="283"/>
      <w:lvlJc w:val="left"/>
      <w:pPr>
        <w:ind w:left="241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174D35"/>
    <w:multiLevelType w:val="singleLevel"/>
    <w:tmpl w:val="55A8764A"/>
    <w:lvl w:ilvl="0">
      <w:start w:val="30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3" w15:restartNumberingAfterBreak="0">
    <w:nsid w:val="716F6E57"/>
    <w:multiLevelType w:val="hybridMultilevel"/>
    <w:tmpl w:val="B3F66B36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30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F08"/>
    <w:rsid w:val="00062F08"/>
    <w:rsid w:val="0010511D"/>
    <w:rsid w:val="00206E3B"/>
    <w:rsid w:val="00527B79"/>
    <w:rsid w:val="006E442D"/>
    <w:rsid w:val="007D7635"/>
    <w:rsid w:val="008D37C1"/>
    <w:rsid w:val="00B37AE0"/>
    <w:rsid w:val="00C033D2"/>
    <w:rsid w:val="00ED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548BC7"/>
  <w15:chartTrackingRefBased/>
  <w15:docId w15:val="{6A4B181C-B75F-4072-A72F-6C01087AC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paragraph">
    <w:name w:val="paragraph"/>
    <w:basedOn w:val="Normal"/>
    <w:rsid w:val="00C033D2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C033D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1277</Words>
  <Characters>6898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Alexandre</cp:lastModifiedBy>
  <cp:revision>2</cp:revision>
  <cp:lastPrinted>2020-07-10T14:52:00Z</cp:lastPrinted>
  <dcterms:created xsi:type="dcterms:W3CDTF">2020-10-23T16:39:00Z</dcterms:created>
  <dcterms:modified xsi:type="dcterms:W3CDTF">2020-10-23T16:39:00Z</dcterms:modified>
</cp:coreProperties>
</file>