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5AC6" w:rsidRPr="008038C2" w:rsidP="002B5AC6" w14:paraId="2C7FE58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038C2">
        <w:rPr>
          <w:rFonts w:ascii="Arial" w:hAnsi="Arial" w:cs="Arial"/>
          <w:b/>
          <w:sz w:val="22"/>
          <w:szCs w:val="22"/>
          <w:u w:val="single"/>
        </w:rPr>
        <w:t>PARECER CONJUNTO</w:t>
      </w:r>
    </w:p>
    <w:p w:rsidR="002B5AC6" w:rsidRPr="008038C2" w:rsidP="002B5AC6" w14:paraId="206010C8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2B5AC6" w:rsidRPr="008038C2" w:rsidP="002B5AC6" w14:paraId="20707AA3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038C2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8038C2">
        <w:rPr>
          <w:rFonts w:ascii="Arial" w:hAnsi="Arial" w:cs="Arial"/>
          <w:b/>
          <w:bCs/>
          <w:sz w:val="22"/>
          <w:szCs w:val="22"/>
        </w:rPr>
        <w:t>:</w:t>
      </w:r>
      <w:r w:rsidRPr="008038C2">
        <w:rPr>
          <w:rFonts w:ascii="Arial" w:hAnsi="Arial" w:cs="Arial"/>
          <w:sz w:val="22"/>
          <w:szCs w:val="22"/>
        </w:rPr>
        <w:t xml:space="preserve"> Projeto de Lei</w:t>
      </w:r>
      <w:r w:rsidRPr="008038C2">
        <w:rPr>
          <w:rFonts w:ascii="Arial" w:hAnsi="Arial" w:cs="Arial"/>
          <w:bCs/>
          <w:sz w:val="22"/>
          <w:szCs w:val="22"/>
        </w:rPr>
        <w:t xml:space="preserve"> Complementar nº. 02/2021</w:t>
      </w:r>
    </w:p>
    <w:p w:rsidR="002B5AC6" w:rsidRPr="008038C2" w:rsidP="002B5AC6" w14:paraId="161D789D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038C2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8038C2">
        <w:rPr>
          <w:rFonts w:ascii="Arial" w:hAnsi="Arial" w:cs="Arial"/>
          <w:b/>
          <w:bCs/>
          <w:sz w:val="22"/>
          <w:szCs w:val="22"/>
        </w:rPr>
        <w:t>:</w:t>
      </w:r>
      <w:r w:rsidRPr="008038C2">
        <w:rPr>
          <w:rFonts w:ascii="Arial" w:hAnsi="Arial" w:cs="Arial"/>
          <w:b/>
          <w:bCs/>
          <w:sz w:val="22"/>
          <w:szCs w:val="22"/>
        </w:rPr>
        <w:tab/>
      </w:r>
      <w:r w:rsidRPr="008038C2">
        <w:rPr>
          <w:rFonts w:ascii="Arial" w:hAnsi="Arial" w:cs="Arial"/>
          <w:bCs/>
          <w:sz w:val="22"/>
          <w:szCs w:val="22"/>
        </w:rPr>
        <w:t>Dispõe sobre alteração da Lei Complementar nº 1.278/2020 - Diretrizes Orçamentári</w:t>
      </w:r>
      <w:r>
        <w:rPr>
          <w:rFonts w:ascii="Arial" w:hAnsi="Arial" w:cs="Arial"/>
          <w:bCs/>
          <w:sz w:val="22"/>
          <w:szCs w:val="22"/>
        </w:rPr>
        <w:t>as para o exercício  de 2021 e</w:t>
      </w:r>
      <w:r w:rsidRPr="008038C2">
        <w:rPr>
          <w:rFonts w:ascii="Arial" w:hAnsi="Arial" w:cs="Arial"/>
          <w:bCs/>
          <w:sz w:val="22"/>
          <w:szCs w:val="22"/>
        </w:rPr>
        <w:t xml:space="preserve"> abre um crédito adicional suplementar de R$ 6.000.000,00 - ( compra de imunizantes para a população de Botucatu).</w:t>
      </w:r>
    </w:p>
    <w:p w:rsidR="002B5AC6" w:rsidRPr="008038C2" w:rsidP="002B5AC6" w14:paraId="03A8D7C3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8038C2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8038C2">
        <w:rPr>
          <w:rFonts w:ascii="Arial" w:hAnsi="Arial" w:cs="Arial"/>
          <w:b/>
          <w:bCs/>
          <w:sz w:val="22"/>
          <w:szCs w:val="22"/>
        </w:rPr>
        <w:t>:</w:t>
      </w:r>
      <w:r w:rsidRPr="008038C2">
        <w:rPr>
          <w:rFonts w:ascii="Arial" w:hAnsi="Arial" w:cs="Arial"/>
          <w:sz w:val="22"/>
          <w:szCs w:val="22"/>
        </w:rPr>
        <w:t xml:space="preserve"> Prefeito Municipal</w:t>
      </w:r>
    </w:p>
    <w:p w:rsidR="002B5AC6" w:rsidRPr="008038C2" w:rsidP="002B5AC6" w14:paraId="7F69F435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2B5AC6" w:rsidRPr="008038C2" w:rsidP="002B5AC6" w14:paraId="1ECA8114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38C2">
        <w:rPr>
          <w:rFonts w:ascii="Arial" w:hAnsi="Arial" w:cs="Arial"/>
          <w:sz w:val="22"/>
          <w:szCs w:val="22"/>
        </w:rPr>
        <w:t>Em razão da urgência na deliberação do projeto em comento, que foi remetido à Câmara pelo senhor Prefeito com pedido de sessão extraordinária, os presidentes das comissões entraram em comum acordo para realizar reunião conjunta e assim examinar e emitir parecer sobre a matéria, conforme prevê o Regimento Interno em seu artigo 77.</w:t>
      </w:r>
    </w:p>
    <w:p w:rsidR="002B5AC6" w:rsidRPr="008038C2" w:rsidP="002B5AC6" w14:paraId="59C69E6D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38C2">
        <w:rPr>
          <w:rFonts w:ascii="Arial" w:hAnsi="Arial" w:cs="Arial"/>
          <w:sz w:val="22"/>
          <w:szCs w:val="22"/>
        </w:rPr>
        <w:t>O projeto que nos foi submetido trata sobre alteração da Lei Complementar nº 1.278/2020 - Diretrizes Orçamentárias para o exercício de 2021 e abre um crédito adicional suplementar de R$ 6.000.000,00 - (compra de imunizantes para a população de Botucatu).</w:t>
      </w:r>
    </w:p>
    <w:p w:rsidR="002B5AC6" w:rsidRPr="008038C2" w:rsidP="002B5AC6" w14:paraId="33B8A459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 w:rsidRPr="008038C2">
        <w:rPr>
          <w:rFonts w:ascii="Arial" w:hAnsi="Arial" w:cs="Arial"/>
          <w:sz w:val="22"/>
          <w:szCs w:val="22"/>
        </w:rPr>
        <w:t>Conforme se verifica da exposição dos motivos apresentado “</w:t>
      </w:r>
      <w:r w:rsidRPr="008038C2">
        <w:rPr>
          <w:rFonts w:ascii="Arial" w:hAnsi="Arial" w:cs="Arial"/>
          <w:i/>
          <w:sz w:val="22"/>
          <w:szCs w:val="22"/>
        </w:rPr>
        <w:t>Este Projeto de Lei trata de alteração dentro da própria estrutura orçamentária da Secretaria Municipal de Saúde, com o acréscimo de valores dentro do orçamento vigente, para que a Prefeitura possa iniciar as tratativas para eventual compra de imunizantes para a população do Município</w:t>
      </w:r>
      <w:r w:rsidRPr="008038C2">
        <w:rPr>
          <w:rFonts w:ascii="Arial" w:hAnsi="Arial" w:cs="Arial"/>
          <w:sz w:val="22"/>
          <w:szCs w:val="22"/>
        </w:rPr>
        <w:t xml:space="preserve">. </w:t>
      </w:r>
      <w:r w:rsidRPr="008038C2">
        <w:rPr>
          <w:rFonts w:ascii="Arial" w:hAnsi="Arial" w:cs="Arial"/>
          <w:i/>
          <w:sz w:val="22"/>
          <w:szCs w:val="22"/>
        </w:rPr>
        <w:t>(...) Tal</w:t>
      </w:r>
      <w:r w:rsidRPr="008038C2">
        <w:rPr>
          <w:rFonts w:ascii="Arial" w:hAnsi="Arial" w:cs="Arial"/>
          <w:i/>
          <w:sz w:val="22"/>
          <w:szCs w:val="22"/>
        </w:rPr>
        <w:t xml:space="preserve"> urgência na cobertura vacinal, está aliada ao risco de acelerações de novos casos de COVID-19 em Botucatu, como observado no final do mês de dezembro, início de janeiro, e a lentidão na vacinação tem implicado no surgimento de novas cepas variantes</w:t>
      </w:r>
      <w:r w:rsidRPr="008038C2">
        <w:rPr>
          <w:rFonts w:ascii="Arial" w:hAnsi="Arial" w:cs="Arial"/>
          <w:sz w:val="22"/>
          <w:szCs w:val="22"/>
        </w:rPr>
        <w:t xml:space="preserve">. </w:t>
      </w:r>
      <w:r w:rsidRPr="008038C2">
        <w:rPr>
          <w:rFonts w:ascii="Arial" w:hAnsi="Arial" w:cs="Arial"/>
          <w:i/>
          <w:sz w:val="22"/>
          <w:szCs w:val="22"/>
        </w:rPr>
        <w:t>Desse modo para que a Prefeitura possa iniciar as tratativas para uma possível aquisição de vacinas, há necessidade inicial de suplementação da ficha orçamentária, em R$ 6.000.000,00, crédito esse que será coberto com recursos provenientes do superávit financeiro apurado no exercício de 2.020”.</w:t>
      </w:r>
    </w:p>
    <w:p w:rsidR="002B5AC6" w:rsidRPr="008038C2" w:rsidP="002B5AC6" w14:paraId="4D85C19F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 w:rsidRPr="008038C2">
        <w:rPr>
          <w:rFonts w:ascii="Arial" w:hAnsi="Arial" w:cs="Arial"/>
          <w:i/>
          <w:sz w:val="22"/>
          <w:szCs w:val="22"/>
        </w:rPr>
        <w:t xml:space="preserve">A justificativa do projeto ainda leva em consideração </w:t>
      </w:r>
      <w:r w:rsidRPr="008038C2">
        <w:rPr>
          <w:rFonts w:ascii="Arial" w:hAnsi="Arial" w:cs="Arial"/>
          <w:sz w:val="22"/>
          <w:szCs w:val="22"/>
        </w:rPr>
        <w:t xml:space="preserve">a propositura da ADPF 770 pelo Conselho Federal da Ordem dos Advogados do Brasil em face “das ações e omissões do Governo Federal, consubstanciada na mora em fornecer à população um plano definitivo nacional de imunização e o registro de acesso à COVID-19”, o fato que o Supremo Tribunal Federal em 23/02/2021, referendou a decisão liminar proferida pelo Ministro Ricardo </w:t>
      </w:r>
      <w:r w:rsidRPr="008038C2">
        <w:rPr>
          <w:rFonts w:ascii="Arial" w:hAnsi="Arial" w:cs="Arial"/>
          <w:sz w:val="22"/>
          <w:szCs w:val="22"/>
        </w:rPr>
        <w:t>Lewandowski</w:t>
      </w:r>
      <w:r w:rsidRPr="008038C2">
        <w:rPr>
          <w:rFonts w:ascii="Arial" w:hAnsi="Arial" w:cs="Arial"/>
          <w:sz w:val="22"/>
          <w:szCs w:val="22"/>
        </w:rPr>
        <w:t xml:space="preserve"> que autoriza os “Estados, Distrito Federal e Municípios  no caso de descumprimento do Plano Nacional de Operacionalização da Vacinação contra a Covid-19, recentemente tornado público pela União, ou na hipótese de que este não proveja cobertura imunológica tempestiva e suficiente contra a doença, poderão dispensar às respectivas populações as vacinas das quais disponham, previamente aprovadas pela Anvisa, ou se esta agência governamental não expedir a autorização competente, no prazo de 72 horas, poderão importar e distribuir vacinas registradas por pelo menos uma das autoridades sanitárias estrangeiras e liberadas para distribuição comercial nos respectivos países,” bem como a Constituição Federal que atribui a todos os entes federados a “competência comum de cuidar da saúde, compreendida nela a adoção de quaisquer medidas que se mostrem necessárias para salvar vidas e garantir a higidez física das pessoas ameaçadas ou acometidas pela nova moléstia, incluindo-se nisso a disponibilização, por parte dos governos estaduais, distrital e municipais, de imunizantes diversos daqueles ofertados pela União, desde que aprovados pela Anvisa, caso aqueles se mostrem insuficientes ou sejam ofertados a </w:t>
      </w:r>
      <w:r w:rsidRPr="008038C2">
        <w:rPr>
          <w:rFonts w:ascii="Arial" w:hAnsi="Arial" w:cs="Arial"/>
          <w:sz w:val="22"/>
          <w:szCs w:val="22"/>
        </w:rPr>
        <w:t>destempo</w:t>
      </w:r>
      <w:r w:rsidRPr="008038C2">
        <w:rPr>
          <w:rFonts w:ascii="Arial" w:hAnsi="Arial" w:cs="Arial"/>
          <w:sz w:val="22"/>
          <w:szCs w:val="22"/>
        </w:rPr>
        <w:t>.”</w:t>
      </w:r>
    </w:p>
    <w:p w:rsidR="002B5AC6" w:rsidP="002B5AC6" w14:paraId="1F61E20E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</w:p>
    <w:p w:rsidR="002B5AC6" w:rsidP="002B5AC6" w14:paraId="0929FF24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</w:p>
    <w:p w:rsidR="002B5AC6" w:rsidP="002B5AC6" w14:paraId="2B2DC991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B5AC6" w:rsidP="002B5AC6" w14:paraId="169A9014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B5AC6" w:rsidRPr="008038C2" w:rsidP="002B5AC6" w14:paraId="4295FEEC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 w:rsidRPr="006F2C5A">
        <w:rPr>
          <w:rFonts w:ascii="Arial" w:hAnsi="Arial" w:cs="Arial"/>
          <w:sz w:val="22"/>
          <w:szCs w:val="22"/>
        </w:rPr>
        <w:t>Além disso, integra o projeto o</w:t>
      </w:r>
      <w:r w:rsidRPr="008038C2">
        <w:rPr>
          <w:rFonts w:ascii="Arial" w:hAnsi="Arial" w:cs="Arial"/>
          <w:sz w:val="22"/>
          <w:szCs w:val="22"/>
        </w:rPr>
        <w:t xml:space="preserve"> relatório elaborado pela Secretaria Municipal de Saúde, que demonstra o ritmo lento da vacinação no país, tornando imperiosa a aquisição de imunizantes pelo Poder Público Municipal, objetivando a maior celeridade no processo de vacinação.</w:t>
      </w:r>
    </w:p>
    <w:p w:rsidR="002B5AC6" w:rsidRPr="008038C2" w:rsidP="002B5AC6" w14:paraId="0F616B4B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38C2">
        <w:rPr>
          <w:rFonts w:ascii="Arial" w:hAnsi="Arial" w:cs="Arial"/>
          <w:sz w:val="22"/>
          <w:szCs w:val="22"/>
        </w:rPr>
        <w:t>Em trâmite, a propositura foi examinada pela Procuradoria Jurídica que manifestou no sentido de que a proposta deve prosperar por não conter vícios constitucionais e regimentais.</w:t>
      </w:r>
    </w:p>
    <w:p w:rsidR="002B5AC6" w:rsidRPr="008038C2" w:rsidP="002B5AC6" w14:paraId="275DE1A2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38C2">
        <w:rPr>
          <w:rFonts w:ascii="Arial" w:hAnsi="Arial" w:cs="Arial"/>
          <w:sz w:val="22"/>
          <w:szCs w:val="22"/>
        </w:rPr>
        <w:t>Em relação à comissão de constituição, justiça e redação, foi reafirmada a legalidade e constitucionalidade manifestadas em parecer jurídico que acompanha o processo.</w:t>
      </w:r>
    </w:p>
    <w:p w:rsidR="002B5AC6" w:rsidRPr="008038C2" w:rsidP="002B5AC6" w14:paraId="57A5BEF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38C2">
        <w:rPr>
          <w:rFonts w:ascii="Arial" w:hAnsi="Arial" w:cs="Arial"/>
          <w:sz w:val="22"/>
          <w:szCs w:val="22"/>
        </w:rPr>
        <w:t xml:space="preserve">A comissão de orçamento, finanças e contabilidade, após examinar os aspectos financeiros, consigna que </w:t>
      </w:r>
      <w:r>
        <w:rPr>
          <w:rFonts w:ascii="Arial" w:hAnsi="Arial" w:cs="Arial"/>
          <w:sz w:val="22"/>
          <w:szCs w:val="22"/>
        </w:rPr>
        <w:t>o crédito adicional será proveniente do superávit financeiro apurado no Balanço Patrimonial do exercício de 2020, conforme consta no projeto, de forma a incrementar as medidas adotadas na prevenção da proliferação do Coronavírus.</w:t>
      </w:r>
    </w:p>
    <w:p w:rsidR="002B5AC6" w:rsidRPr="008038C2" w:rsidP="002B5AC6" w14:paraId="0C9C1600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38C2">
        <w:rPr>
          <w:rFonts w:ascii="Arial" w:hAnsi="Arial" w:cs="Arial"/>
          <w:sz w:val="22"/>
          <w:szCs w:val="22"/>
        </w:rPr>
        <w:t xml:space="preserve">No tocante ao que compete à comissão de saúde, ressaltam que </w:t>
      </w:r>
      <w:r>
        <w:rPr>
          <w:rFonts w:ascii="Arial" w:hAnsi="Arial" w:cs="Arial"/>
          <w:sz w:val="22"/>
          <w:szCs w:val="22"/>
        </w:rPr>
        <w:t>o propósito do projeto vem de encontro aos anseios da população e destacam a importância de tal atitude nesta época de pandemia, uma vez que pode colaborar com o futuro retorno das atividades econômicas e sociais em nosso município.</w:t>
      </w:r>
    </w:p>
    <w:p w:rsidR="002B5AC6" w:rsidRPr="008038C2" w:rsidP="002B5AC6" w14:paraId="5B04B2AC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38C2">
        <w:rPr>
          <w:rFonts w:ascii="Arial" w:hAnsi="Arial" w:cs="Arial"/>
          <w:sz w:val="22"/>
          <w:szCs w:val="22"/>
        </w:rPr>
        <w:t>Após análise, as comissões manifestam pelo prosseguimento do projeto, reservando o direito de manifestação em Plenário.</w:t>
      </w:r>
    </w:p>
    <w:p w:rsidR="002B5AC6" w:rsidRPr="008038C2" w:rsidP="002B5AC6" w14:paraId="5E4764EC" w14:textId="77777777">
      <w:pPr>
        <w:jc w:val="both"/>
        <w:rPr>
          <w:rFonts w:ascii="Arial" w:hAnsi="Arial" w:cs="Arial"/>
          <w:sz w:val="22"/>
          <w:szCs w:val="22"/>
        </w:rPr>
      </w:pPr>
    </w:p>
    <w:p w:rsidR="002B5AC6" w:rsidRPr="008038C2" w:rsidP="002B5AC6" w14:paraId="73F795E9" w14:textId="77777777">
      <w:pPr>
        <w:jc w:val="both"/>
        <w:rPr>
          <w:rFonts w:ascii="Arial" w:hAnsi="Arial" w:cs="Arial"/>
          <w:sz w:val="22"/>
          <w:szCs w:val="22"/>
        </w:rPr>
      </w:pPr>
    </w:p>
    <w:p w:rsidR="002B5AC6" w:rsidRPr="008038C2" w:rsidP="002B5AC6" w14:paraId="7C3F0639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8038C2">
        <w:rPr>
          <w:rFonts w:ascii="Arial" w:hAnsi="Arial" w:cs="Arial"/>
          <w:sz w:val="22"/>
          <w:szCs w:val="22"/>
        </w:rPr>
        <w:t>Plenário “Vereador Laurindo Ezidoro Jaqueta”, 4 de março de 2021.</w:t>
      </w:r>
    </w:p>
    <w:p w:rsidR="002B5AC6" w:rsidP="002B5AC6" w14:paraId="345A098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B5AC6" w:rsidP="002B5AC6" w14:paraId="7D2C5F8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B5AC6" w:rsidP="002B5AC6" w14:paraId="2A589B13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2B5AC6" w:rsidP="002B5AC6" w14:paraId="2441FF3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2B5AC6" w:rsidP="002B5AC6" w14:paraId="12E7EC1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2B5AC6" w:rsidP="002B5AC6" w14:paraId="665920C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7FDAD648" w14:textId="77777777" w:rsidTr="005D30A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2B5AC6" w:rsidP="005D30A8" w14:paraId="044B0D6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r>
              <w:rPr>
                <w:rFonts w:ascii="Arial" w:hAnsi="Arial" w:cs="Arial"/>
                <w:b/>
              </w:rPr>
              <w:t>Sleiman</w:t>
            </w:r>
          </w:p>
          <w:p w:rsidR="002B5AC6" w:rsidP="005D30A8" w14:paraId="4E4E924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2B5AC6" w:rsidP="005D30A8" w14:paraId="374E371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2B5AC6" w:rsidP="005D30A8" w14:paraId="4EA40E8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2B5AC6" w:rsidP="005D30A8" w14:paraId="06CEFC9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Lelo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Pagani</w:t>
            </w:r>
          </w:p>
          <w:p w:rsidR="002B5AC6" w:rsidP="005D30A8" w14:paraId="4DBDA7C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2B5AC6" w:rsidP="002B5AC6" w14:paraId="095B899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2B5AC6" w:rsidP="002B5AC6" w14:paraId="2F6C073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B5AC6" w:rsidP="002B5AC6" w14:paraId="5E5E328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2B5AC6" w:rsidP="002B5AC6" w14:paraId="5EC56BEA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2B5AC6" w:rsidP="002B5AC6" w14:paraId="56C9C80C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61CF7D0D" w14:textId="77777777" w:rsidTr="005D30A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2B5AC6" w:rsidP="005D30A8" w14:paraId="160C5E9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2B5AC6" w:rsidP="005D30A8" w14:paraId="73964FE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2B5AC6" w:rsidP="005D30A8" w14:paraId="68832FF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Silvio</w:t>
            </w:r>
          </w:p>
          <w:p w:rsidR="002B5AC6" w:rsidP="005D30A8" w14:paraId="0BD4370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2B5AC6" w:rsidP="005D30A8" w14:paraId="674EE92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r>
              <w:rPr>
                <w:rFonts w:ascii="Arial" w:hAnsi="Arial" w:cs="Arial"/>
                <w:b/>
              </w:rPr>
              <w:t>Sleiman</w:t>
            </w:r>
          </w:p>
          <w:p w:rsidR="002B5AC6" w:rsidP="005D30A8" w14:paraId="59530AB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2B5AC6" w:rsidP="002B5AC6" w14:paraId="6FFD42BF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2B5AC6" w:rsidP="002B5AC6" w14:paraId="4B07B7D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2B5AC6" w:rsidP="002B5AC6" w14:paraId="0224AAD8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2B5AC6" w:rsidP="002B5AC6" w14:paraId="53BADDFC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2B5AC6" w:rsidP="002B5AC6" w14:paraId="42E2EB42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2B5AC6" w:rsidP="002B5AC6" w14:paraId="1668243D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124A2426" w14:textId="77777777" w:rsidTr="005D30A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2B5AC6" w:rsidP="005D30A8" w14:paraId="3442E2C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Alessandra Lucchesi</w:t>
            </w:r>
          </w:p>
          <w:p w:rsidR="002B5AC6" w:rsidP="005D30A8" w14:paraId="05036D2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2B5AC6" w:rsidP="005D30A8" w14:paraId="6F7F17C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Erika</w:t>
            </w:r>
            <w:r>
              <w:rPr>
                <w:rFonts w:ascii="Arial" w:hAnsi="Arial" w:cs="Arial"/>
                <w:b/>
              </w:rPr>
              <w:t xml:space="preserve"> da Liga do Bem</w:t>
            </w:r>
          </w:p>
          <w:p w:rsidR="002B5AC6" w:rsidP="005D30A8" w14:paraId="79BF35D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Relatora</w:t>
            </w:r>
          </w:p>
          <w:p w:rsidR="002B5AC6" w:rsidP="005D30A8" w14:paraId="3781FE6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  <w:hideMark/>
          </w:tcPr>
          <w:p w:rsidR="002B5AC6" w:rsidP="005D30A8" w14:paraId="1108B7C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2B5AC6" w:rsidP="005D30A8" w14:paraId="167E9C9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206E3B" w:rsidP="002B5AC6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B5AC6"/>
    <w:rsid w:val="00527B79"/>
    <w:rsid w:val="005D30A8"/>
    <w:rsid w:val="006F2C5A"/>
    <w:rsid w:val="007D7635"/>
    <w:rsid w:val="008038C2"/>
    <w:rsid w:val="00B37AE0"/>
    <w:rsid w:val="00D34E3C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2B5A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2021-03-05T10:31:00Z</dcterms:modified>
</cp:coreProperties>
</file>