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5CDC" w:rsidP="00E55CDC" w14:paraId="4B5C43C6" w14:textId="77777777">
      <w:pPr>
        <w:pStyle w:val="Title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PARECER JURÍDICO</w:t>
      </w:r>
    </w:p>
    <w:p w:rsidR="00E55CDC" w:rsidP="00E55CDC" w14:paraId="2DA0EFA7" w14:textId="77777777">
      <w:pPr>
        <w:jc w:val="center"/>
        <w:rPr>
          <w:b/>
          <w:bCs/>
          <w:sz w:val="24"/>
          <w:szCs w:val="24"/>
        </w:rPr>
      </w:pPr>
    </w:p>
    <w:p w:rsidR="00E55CDC" w:rsidP="00E55CDC" w14:paraId="1216A2A7" w14:textId="77777777">
      <w:pPr>
        <w:jc w:val="center"/>
        <w:rPr>
          <w:b/>
          <w:bCs/>
          <w:sz w:val="24"/>
          <w:szCs w:val="24"/>
        </w:rPr>
      </w:pPr>
    </w:p>
    <w:p w:rsidR="00E55CDC" w:rsidP="00E55CDC" w14:paraId="096A9100" w14:textId="7777777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55CDC" w:rsidP="00E55CDC" w14:paraId="5849668B" w14:textId="77777777">
      <w:pPr>
        <w:pStyle w:val="BodyText"/>
        <w:ind w:right="28"/>
        <w:rPr>
          <w:b w:val="0"/>
          <w:bCs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REFERÊNCIA: Projeto de Decreto Legislativo nº 0009, de 29 de outubro de 2019, de autoria dos membros da Mesa da Câmara, que concede o Diploma "Reconhecimento Comunitário aos Doadores de Sangue e Órgãos"</w:t>
      </w:r>
      <w:r>
        <w:rPr>
          <w:b w:val="0"/>
          <w:bCs/>
          <w:sz w:val="24"/>
          <w:szCs w:val="24"/>
          <w:u w:val="single"/>
        </w:rPr>
        <w:t>.</w:t>
      </w:r>
    </w:p>
    <w:p w:rsidR="00E55CDC" w:rsidP="00E55CDC" w14:paraId="12EFCF85" w14:textId="77777777">
      <w:pPr>
        <w:pStyle w:val="BodyText"/>
        <w:rPr>
          <w:b w:val="0"/>
          <w:bCs/>
          <w:sz w:val="24"/>
          <w:szCs w:val="24"/>
        </w:rPr>
      </w:pPr>
    </w:p>
    <w:p w:rsidR="00E55CDC" w:rsidP="00E55CDC" w14:paraId="14F8DFCF" w14:textId="77777777">
      <w:pPr>
        <w:pStyle w:val="BodyText"/>
        <w:rPr>
          <w:b w:val="0"/>
          <w:bCs/>
          <w:sz w:val="24"/>
          <w:szCs w:val="24"/>
        </w:rPr>
      </w:pPr>
    </w:p>
    <w:p w:rsidR="00E55CDC" w:rsidP="00E55CDC" w14:paraId="2AAECE69" w14:textId="77777777">
      <w:pPr>
        <w:pStyle w:val="BodyTex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 xml:space="preserve">É de </w:t>
      </w:r>
      <w:r>
        <w:rPr>
          <w:b w:val="0"/>
          <w:sz w:val="24"/>
          <w:szCs w:val="24"/>
        </w:rPr>
        <w:t>atribuição privativa da Câmara Municipal</w:t>
      </w:r>
      <w:r>
        <w:rPr>
          <w:b w:val="0"/>
          <w:bCs/>
          <w:sz w:val="24"/>
          <w:szCs w:val="24"/>
        </w:rPr>
        <w:t xml:space="preserve"> conceder</w:t>
      </w:r>
      <w:r>
        <w:rPr>
          <w:b w:val="0"/>
          <w:sz w:val="24"/>
          <w:szCs w:val="24"/>
        </w:rPr>
        <w:t xml:space="preserve"> honrarias</w:t>
      </w:r>
      <w:r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>
        <w:rPr>
          <w:b w:val="0"/>
          <w:sz w:val="24"/>
          <w:szCs w:val="24"/>
        </w:rPr>
        <w:t>rt. 15, inciso XI da Lei Orgânica Municipal (LOM)</w:t>
      </w:r>
      <w:r>
        <w:rPr>
          <w:b w:val="0"/>
          <w:bCs/>
          <w:sz w:val="24"/>
          <w:szCs w:val="24"/>
        </w:rPr>
        <w:t xml:space="preserve">, e de acordo com a Resolução nº 329, de 18 de maio de 2004. </w:t>
      </w:r>
    </w:p>
    <w:p w:rsidR="00E55CDC" w:rsidP="00E55CDC" w14:paraId="0F314D31" w14:textId="77777777">
      <w:pPr>
        <w:pStyle w:val="BodyText"/>
        <w:rPr>
          <w:b w:val="0"/>
          <w:bCs/>
          <w:sz w:val="24"/>
          <w:szCs w:val="24"/>
        </w:rPr>
      </w:pPr>
    </w:p>
    <w:p w:rsidR="00E55CDC" w:rsidP="00E55CDC" w14:paraId="716B095E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 espécie normativa é o Decreto Legislativo, segundo dispõe o </w:t>
      </w:r>
      <w:r>
        <w:rPr>
          <w:b w:val="0"/>
          <w:sz w:val="24"/>
          <w:szCs w:val="24"/>
        </w:rPr>
        <w:t>artigo 173, letra ‘c’, do Regimento Interno da Câmara Municipal de Botucatu</w:t>
      </w:r>
      <w:r>
        <w:rPr>
          <w:b w:val="0"/>
          <w:bCs/>
          <w:sz w:val="24"/>
          <w:szCs w:val="24"/>
        </w:rPr>
        <w:t xml:space="preserve"> (RI).</w:t>
      </w:r>
    </w:p>
    <w:p w:rsidR="00E55CDC" w:rsidP="00E55CDC" w14:paraId="325360AC" w14:textId="77777777">
      <w:pPr>
        <w:pStyle w:val="BodyText"/>
        <w:ind w:firstLine="2977"/>
        <w:rPr>
          <w:b w:val="0"/>
          <w:bCs/>
          <w:sz w:val="24"/>
          <w:szCs w:val="24"/>
        </w:rPr>
      </w:pPr>
    </w:p>
    <w:p w:rsidR="00E55CDC" w:rsidP="00E55CDC" w14:paraId="43B07456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De acordo com o artigo 3º da Resolução 329/2004, caberá aos membros da Mesa da Câmara Municipal de Botucatu apresentar Projeto de Decreto Legislativo propondo a concessão desta honraria, que será aprovado em turno único de discussão e votação.</w:t>
      </w:r>
    </w:p>
    <w:p w:rsidR="00E55CDC" w:rsidP="00E55CDC" w14:paraId="636BD684" w14:textId="77777777">
      <w:pPr>
        <w:pStyle w:val="BodyText"/>
        <w:rPr>
          <w:b w:val="0"/>
          <w:bCs/>
          <w:sz w:val="24"/>
          <w:szCs w:val="24"/>
        </w:rPr>
      </w:pPr>
    </w:p>
    <w:p w:rsidR="00E55CDC" w:rsidP="00E55CDC" w14:paraId="3B116689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Para a aprovação do presente Decreto Legislativo há a imperiosidade do </w:t>
      </w:r>
      <w:r>
        <w:rPr>
          <w:b w:val="0"/>
          <w:sz w:val="24"/>
          <w:szCs w:val="24"/>
        </w:rPr>
        <w:t>“</w:t>
      </w:r>
      <w:r>
        <w:rPr>
          <w:sz w:val="24"/>
          <w:szCs w:val="24"/>
        </w:rPr>
        <w:t>quorum</w:t>
      </w:r>
      <w:r>
        <w:rPr>
          <w:sz w:val="24"/>
          <w:szCs w:val="24"/>
        </w:rPr>
        <w:t xml:space="preserve"> qualificado</w:t>
      </w:r>
      <w:r>
        <w:rPr>
          <w:b w:val="0"/>
          <w:bCs/>
          <w:sz w:val="24"/>
          <w:szCs w:val="24"/>
        </w:rPr>
        <w:t xml:space="preserve">”, ou seja, de </w:t>
      </w:r>
      <w:r>
        <w:rPr>
          <w:b w:val="0"/>
          <w:sz w:val="24"/>
          <w:szCs w:val="24"/>
        </w:rPr>
        <w:t>2/3 dos membros desta Câmara (art. 15, XI da LOM; art. 40, III, letra ‘d’ do RI; art. 3º, da Resolução n. 329/2004 e art. 1</w:t>
      </w:r>
      <w:r>
        <w:rPr>
          <w:b w:val="0"/>
          <w:sz w:val="24"/>
          <w:szCs w:val="24"/>
          <w:vertAlign w:val="superscript"/>
        </w:rPr>
        <w:t>o</w:t>
      </w:r>
      <w:r>
        <w:rPr>
          <w:b w:val="0"/>
          <w:sz w:val="24"/>
          <w:szCs w:val="24"/>
        </w:rPr>
        <w:t xml:space="preserve"> da Resolução nº 324/2002 desta Casa)</w:t>
      </w:r>
      <w:r>
        <w:rPr>
          <w:b w:val="0"/>
          <w:bCs/>
          <w:sz w:val="24"/>
          <w:szCs w:val="24"/>
        </w:rPr>
        <w:t xml:space="preserve">. </w:t>
      </w:r>
    </w:p>
    <w:p w:rsidR="00E55CDC" w:rsidP="00E55CDC" w14:paraId="259774C8" w14:textId="77777777">
      <w:pPr>
        <w:pStyle w:val="BodyText"/>
        <w:rPr>
          <w:b w:val="0"/>
          <w:bCs/>
          <w:sz w:val="24"/>
          <w:szCs w:val="24"/>
        </w:rPr>
      </w:pPr>
    </w:p>
    <w:p w:rsidR="00E55CDC" w:rsidP="00E55CDC" w14:paraId="3E67DC6C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329, de 18 de maio de 2004, e, igualmente, no incentivo aos doadores que se solidarizam para ajudar a salvar vidas, bem como na recuperação de acidentados e doentes, que muitas vezes tem sua cirurgia adiada por falta de plasma. </w:t>
      </w:r>
    </w:p>
    <w:p w:rsidR="00E55CDC" w:rsidP="00E55CDC" w14:paraId="317FE4D1" w14:textId="77777777">
      <w:pPr>
        <w:pStyle w:val="BodyText"/>
        <w:ind w:firstLine="2977"/>
        <w:rPr>
          <w:b w:val="0"/>
          <w:bCs/>
          <w:sz w:val="24"/>
          <w:szCs w:val="24"/>
        </w:rPr>
      </w:pPr>
    </w:p>
    <w:p w:rsidR="00E55CDC" w:rsidP="00E55CDC" w14:paraId="1279E7A4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Anexados ao presente projeto de decreto, estão as informações enviadas pelo Hemocentro - UNESP, onde consta os nomes dos homenageados, ou seja, o mérito da matéria.</w:t>
      </w:r>
    </w:p>
    <w:p w:rsidR="00E55CDC" w:rsidP="00E55CDC" w14:paraId="69B83D84" w14:textId="77777777">
      <w:pPr>
        <w:pStyle w:val="BodyText"/>
        <w:ind w:firstLine="2977"/>
        <w:rPr>
          <w:b w:val="0"/>
          <w:bCs/>
          <w:sz w:val="24"/>
          <w:szCs w:val="24"/>
        </w:rPr>
      </w:pPr>
    </w:p>
    <w:p w:rsidR="00E55CDC" w:rsidP="00E55CDC" w14:paraId="5C1CE0F8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 presente proposição está de acordo com os termos da Resolução nº 329/2004, bem como com o Regimento Interno da Câmara e Lei Orgânica Municipal. </w:t>
      </w:r>
    </w:p>
    <w:p w:rsidR="00E55CDC" w:rsidP="00E55CDC" w14:paraId="5AEF7923" w14:textId="77777777">
      <w:pPr>
        <w:pStyle w:val="BodyText"/>
        <w:rPr>
          <w:b w:val="0"/>
          <w:bCs/>
          <w:sz w:val="24"/>
          <w:szCs w:val="24"/>
        </w:rPr>
      </w:pPr>
    </w:p>
    <w:p w:rsidR="00E55CDC" w:rsidP="00E55CDC" w14:paraId="300714E6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Se aprovada a matéria, deverá ser designada uma Sessão Solene para a entrega dos respectivos diplomas aos homenageados. </w:t>
      </w:r>
    </w:p>
    <w:p w:rsidR="00E55CDC" w:rsidP="00E55CDC" w14:paraId="1AB98596" w14:textId="77777777">
      <w:pPr>
        <w:pStyle w:val="BodyText"/>
        <w:rPr>
          <w:b w:val="0"/>
          <w:bCs/>
          <w:sz w:val="24"/>
          <w:szCs w:val="24"/>
        </w:rPr>
      </w:pPr>
    </w:p>
    <w:p w:rsidR="00E55CDC" w:rsidP="00E55CDC" w14:paraId="5A4690A6" w14:textId="77777777">
      <w:pPr>
        <w:pStyle w:val="BodyText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aos homenageados o DIPLOMA </w:t>
      </w:r>
      <w:r>
        <w:rPr>
          <w:sz w:val="24"/>
          <w:szCs w:val="24"/>
          <w:u w:val="single"/>
        </w:rPr>
        <w:t>“RECONHECIMENTO COMUNITÁRIO AOS DOADORES DE SANGUE E ÓRGÃOS”</w:t>
      </w:r>
      <w:r>
        <w:rPr>
          <w:b w:val="0"/>
          <w:bCs/>
          <w:sz w:val="24"/>
          <w:szCs w:val="24"/>
        </w:rPr>
        <w:t>, instituído pela Resolução 329, de 18/05/2004, podendo o mesmo ser livremente apreciado e votado pelo Colendo Plenário desta Casa.</w:t>
      </w:r>
    </w:p>
    <w:p w:rsidR="00E55CDC" w:rsidP="00E55CDC" w14:paraId="6028233E" w14:textId="77777777">
      <w:pPr>
        <w:pStyle w:val="BodyText"/>
        <w:ind w:firstLine="2977"/>
        <w:rPr>
          <w:b w:val="0"/>
          <w:bCs/>
          <w:sz w:val="24"/>
          <w:szCs w:val="24"/>
        </w:rPr>
      </w:pPr>
    </w:p>
    <w:p w:rsidR="00E55CDC" w:rsidP="00E55CDC" w14:paraId="7EDCF3C9" w14:textId="77777777">
      <w:pPr>
        <w:pStyle w:val="BodyText"/>
        <w:ind w:firstLine="2977"/>
        <w:rPr>
          <w:b w:val="0"/>
          <w:bCs/>
          <w:sz w:val="24"/>
          <w:szCs w:val="24"/>
        </w:rPr>
      </w:pPr>
    </w:p>
    <w:p w:rsidR="00E55CDC" w:rsidP="00E55CDC" w14:paraId="7D81664B" w14:textId="77777777">
      <w:pPr>
        <w:ind w:left="2269" w:firstLine="708"/>
        <w:rPr>
          <w:sz w:val="24"/>
          <w:szCs w:val="24"/>
        </w:rPr>
      </w:pPr>
      <w:r>
        <w:rPr>
          <w:sz w:val="24"/>
          <w:szCs w:val="24"/>
        </w:rPr>
        <w:t>Botucatu, 04 de novembro de 2019.</w:t>
      </w:r>
    </w:p>
    <w:p w:rsidR="00E55CDC" w:rsidP="00E55CDC" w14:paraId="683E4A3F" w14:textId="77777777">
      <w:pPr>
        <w:jc w:val="center"/>
        <w:rPr>
          <w:sz w:val="24"/>
          <w:szCs w:val="24"/>
        </w:rPr>
      </w:pPr>
    </w:p>
    <w:p w:rsidR="00E55CDC" w:rsidP="00E55CDC" w14:paraId="38B34E98" w14:textId="77777777">
      <w:pPr>
        <w:jc w:val="center"/>
        <w:rPr>
          <w:sz w:val="24"/>
          <w:szCs w:val="24"/>
        </w:rPr>
      </w:pPr>
    </w:p>
    <w:p w:rsidR="00E55CDC" w:rsidP="00E55CDC" w14:paraId="51DAF2C9" w14:textId="77777777">
      <w:pPr>
        <w:jc w:val="center"/>
        <w:rPr>
          <w:sz w:val="24"/>
          <w:szCs w:val="24"/>
        </w:rPr>
      </w:pPr>
    </w:p>
    <w:p w:rsidR="00E55CDC" w:rsidP="00E55CDC" w14:paraId="57A0F37E" w14:textId="77777777">
      <w:pPr>
        <w:jc w:val="center"/>
        <w:rPr>
          <w:sz w:val="24"/>
          <w:szCs w:val="24"/>
        </w:rPr>
      </w:pPr>
    </w:p>
    <w:p w:rsidR="00E55CDC" w:rsidP="00E55CDC" w14:paraId="54AA06E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ANTONIO CORADI FILHO</w:t>
      </w:r>
    </w:p>
    <w:p w:rsidR="00E55CDC" w:rsidP="00E55CDC" w14:paraId="19D6EB57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Procurador Jurídico</w:t>
      </w:r>
    </w:p>
    <w:p w:rsidR="00E55CDC" w:rsidP="00E55CDC" w14:paraId="650F16E9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OAB/SP. nº 253.716</w:t>
      </w:r>
    </w:p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B065B4"/>
    <w:rsid w:val="00B37AE0"/>
    <w:rsid w:val="00E55CDC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55CDC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DefaultParagraphFont"/>
    <w:link w:val="Title"/>
    <w:rsid w:val="00E55CDC"/>
    <w:rPr>
      <w:rFonts w:ascii="Bookman Old Style" w:hAnsi="Bookman Old Style"/>
      <w:b/>
      <w:bCs/>
      <w:i/>
      <w:iCs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rsid w:val="00E55CDC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E55CDC"/>
    <w:rPr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2021-09-29T17:59:00Z</dcterms:modified>
</cp:coreProperties>
</file>