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56D6C" w14:paraId="50B00476" w14:textId="77777777">
      <w:pPr>
        <w:pStyle w:val="BodyText2"/>
        <w:ind w:left="360"/>
        <w:rPr>
          <w:lang w:val="en-US"/>
        </w:rPr>
      </w:pPr>
    </w:p>
    <w:p w:rsidR="000B7C18" w:rsidP="000B7C18" w14:paraId="7BBE146A" w14:textId="77777777">
      <w:pPr>
        <w:spacing w:line="360" w:lineRule="auto"/>
        <w:jc w:val="center"/>
        <w:rPr>
          <w:rFonts w:ascii="Arial" w:hAnsi="Arial" w:cs="Arial"/>
          <w:b/>
          <w:sz w:val="22"/>
          <w:szCs w:val="22"/>
          <w:u w:val="single"/>
        </w:rPr>
      </w:pPr>
      <w:r>
        <w:rPr>
          <w:rFonts w:ascii="Arial" w:hAnsi="Arial" w:cs="Arial"/>
          <w:b/>
          <w:sz w:val="22"/>
          <w:szCs w:val="22"/>
          <w:u w:val="single"/>
        </w:rPr>
        <w:t>COMISSÃO DE ORÇAMENTO, FINANÇAS E CONTABILIDADE</w:t>
      </w:r>
    </w:p>
    <w:p w:rsidR="000B7C18" w:rsidP="000B7C18" w14:paraId="462220CA" w14:textId="77777777">
      <w:pPr>
        <w:spacing w:line="360" w:lineRule="auto"/>
        <w:jc w:val="center"/>
        <w:rPr>
          <w:rFonts w:ascii="Arial" w:hAnsi="Arial" w:cs="Arial"/>
          <w:b/>
          <w:sz w:val="22"/>
          <w:szCs w:val="22"/>
          <w:u w:val="single"/>
        </w:rPr>
      </w:pPr>
      <w:r>
        <w:rPr>
          <w:rFonts w:ascii="Arial" w:hAnsi="Arial" w:cs="Arial"/>
          <w:b/>
          <w:sz w:val="22"/>
          <w:szCs w:val="22"/>
          <w:u w:val="single"/>
        </w:rPr>
        <w:t>P A R E C E R</w:t>
      </w:r>
    </w:p>
    <w:p w:rsidR="000B7C18" w:rsidP="000B7C18" w14:paraId="2650D002" w14:textId="77777777">
      <w:pPr>
        <w:spacing w:line="276" w:lineRule="auto"/>
        <w:rPr>
          <w:rFonts w:ascii="Arial" w:hAnsi="Arial" w:cs="Arial"/>
          <w:b/>
          <w:color w:val="FF0000"/>
          <w:sz w:val="22"/>
          <w:szCs w:val="22"/>
          <w:u w:val="single"/>
        </w:rPr>
      </w:pPr>
    </w:p>
    <w:p w:rsidR="000B7C18" w:rsidP="000B7C18" w14:paraId="0548A26A" w14:textId="77777777">
      <w:pPr>
        <w:spacing w:line="276" w:lineRule="auto"/>
        <w:jc w:val="both"/>
        <w:rPr>
          <w:rFonts w:ascii="Arial" w:hAnsi="Arial" w:cs="Arial"/>
          <w:b/>
          <w:color w:val="0000FF"/>
          <w:sz w:val="22"/>
          <w:szCs w:val="22"/>
        </w:rPr>
      </w:pPr>
      <w:r>
        <w:rPr>
          <w:rFonts w:ascii="Arial" w:hAnsi="Arial" w:cs="Arial"/>
          <w:b/>
          <w:bCs/>
          <w:sz w:val="22"/>
          <w:szCs w:val="22"/>
          <w:u w:val="single"/>
        </w:rPr>
        <w:t>REFERÊNCIA</w:t>
      </w:r>
      <w:r>
        <w:rPr>
          <w:rFonts w:ascii="Arial" w:hAnsi="Arial" w:cs="Arial"/>
          <w:b/>
          <w:bCs/>
          <w:sz w:val="22"/>
          <w:szCs w:val="22"/>
        </w:rPr>
        <w:t>:</w:t>
      </w:r>
      <w:r>
        <w:rPr>
          <w:rFonts w:ascii="Arial" w:hAnsi="Arial" w:cs="Arial"/>
          <w:sz w:val="22"/>
          <w:szCs w:val="22"/>
        </w:rPr>
        <w:t xml:space="preserve"> Projeto de Lei</w:t>
      </w:r>
      <w:r>
        <w:rPr>
          <w:rFonts w:ascii="Arial" w:hAnsi="Arial" w:cs="Arial"/>
          <w:bCs/>
          <w:sz w:val="22"/>
          <w:szCs w:val="22"/>
        </w:rPr>
        <w:t xml:space="preserve"> Complementar nº. 010/2021</w:t>
      </w:r>
    </w:p>
    <w:p w:rsidR="000B7C18" w:rsidP="000B7C18" w14:paraId="4E8B6D23" w14:textId="77777777">
      <w:pPr>
        <w:spacing w:line="276" w:lineRule="auto"/>
        <w:jc w:val="both"/>
        <w:rPr>
          <w:rFonts w:ascii="Arial" w:hAnsi="Arial" w:cs="Arial"/>
          <w:bCs/>
          <w:sz w:val="22"/>
          <w:szCs w:val="22"/>
        </w:rPr>
      </w:pPr>
      <w:r>
        <w:rPr>
          <w:rFonts w:ascii="Arial" w:hAnsi="Arial" w:cs="Arial"/>
          <w:b/>
          <w:bCs/>
          <w:sz w:val="22"/>
          <w:szCs w:val="22"/>
          <w:u w:val="single"/>
        </w:rPr>
        <w:t>ASSUNTO</w:t>
      </w:r>
      <w:r>
        <w:rPr>
          <w:rFonts w:ascii="Arial" w:hAnsi="Arial" w:cs="Arial"/>
          <w:b/>
          <w:bCs/>
          <w:sz w:val="22"/>
          <w:szCs w:val="22"/>
        </w:rPr>
        <w:t>:</w:t>
      </w:r>
      <w:r>
        <w:rPr>
          <w:rFonts w:ascii="Arial" w:hAnsi="Arial" w:cs="Arial"/>
          <w:b/>
          <w:bCs/>
          <w:sz w:val="22"/>
          <w:szCs w:val="22"/>
        </w:rPr>
        <w:tab/>
      </w:r>
      <w:r>
        <w:rPr>
          <w:rFonts w:ascii="Arial" w:hAnsi="Arial" w:cs="Arial"/>
          <w:bCs/>
          <w:sz w:val="22"/>
          <w:szCs w:val="22"/>
        </w:rPr>
        <w:t>altera o art. 192 da Lei Complementar Municipal n°1.231, de 19 de dezembro de 2017, visando adequar a taxa de administração do serviço previdenciário às disposições da Portaria n° 19.451, de 18 de agosto de 2020, do Ministério da Economia - Secretaria Especial de Previdência e Trabalho.</w:t>
      </w:r>
    </w:p>
    <w:p w:rsidR="000B7C18" w:rsidP="000B7C18" w14:paraId="55E6AD22" w14:textId="77777777">
      <w:pPr>
        <w:spacing w:line="276" w:lineRule="auto"/>
        <w:jc w:val="both"/>
        <w:rPr>
          <w:rFonts w:ascii="Arial" w:hAnsi="Arial" w:cs="Arial"/>
          <w:color w:val="0000FF"/>
          <w:sz w:val="22"/>
          <w:szCs w:val="22"/>
        </w:rPr>
      </w:pPr>
      <w:r>
        <w:rPr>
          <w:rFonts w:ascii="Arial" w:hAnsi="Arial" w:cs="Arial"/>
          <w:b/>
          <w:bCs/>
          <w:sz w:val="22"/>
          <w:szCs w:val="22"/>
          <w:u w:val="single"/>
        </w:rPr>
        <w:t>AUTOR</w:t>
      </w:r>
      <w:r>
        <w:rPr>
          <w:rFonts w:ascii="Arial" w:hAnsi="Arial" w:cs="Arial"/>
          <w:b/>
          <w:bCs/>
          <w:sz w:val="22"/>
          <w:szCs w:val="22"/>
        </w:rPr>
        <w:t>:</w:t>
      </w:r>
      <w:r>
        <w:rPr>
          <w:rFonts w:ascii="Arial" w:hAnsi="Arial" w:cs="Arial"/>
          <w:sz w:val="22"/>
          <w:szCs w:val="22"/>
        </w:rPr>
        <w:t xml:space="preserve"> Prefeito Municipal</w:t>
      </w:r>
    </w:p>
    <w:p w:rsidR="000B7C18" w:rsidP="000B7C18" w14:paraId="0D8CCDE4" w14:textId="77777777">
      <w:pPr>
        <w:jc w:val="both"/>
        <w:rPr>
          <w:rFonts w:ascii="Arial" w:hAnsi="Arial" w:cs="Arial"/>
          <w:sz w:val="22"/>
          <w:szCs w:val="22"/>
        </w:rPr>
      </w:pPr>
    </w:p>
    <w:p w:rsidR="000B7C18" w:rsidP="000B7C18" w14:paraId="6DC363D0" w14:textId="77777777">
      <w:pPr>
        <w:jc w:val="both"/>
        <w:outlineLvl w:val="0"/>
        <w:rPr>
          <w:rFonts w:ascii="Arial" w:hAnsi="Arial" w:cs="Arial"/>
          <w:sz w:val="22"/>
          <w:szCs w:val="22"/>
        </w:rPr>
      </w:pPr>
      <w:r>
        <w:rPr>
          <w:rFonts w:ascii="Arial" w:hAnsi="Arial" w:cs="Arial"/>
          <w:sz w:val="22"/>
          <w:szCs w:val="22"/>
        </w:rPr>
        <w:tab/>
      </w:r>
      <w:r>
        <w:rPr>
          <w:rFonts w:ascii="Arial" w:hAnsi="Arial" w:cs="Arial"/>
          <w:sz w:val="22"/>
          <w:szCs w:val="22"/>
        </w:rPr>
        <w:tab/>
        <w:t>O presente Projeto de Lei altera o art. 192 da Lei Complementar Municipal n°1.231, de 19 de dezembro de 2017, visando adequar a taxa de administração do serviço previdenciário às disposições da Portaria n° 19.451, de 18 de agosto de 2020, do Ministério da Economia - Secretaria Especial de Previdência e Trabalho.</w:t>
      </w:r>
    </w:p>
    <w:p w:rsidR="000B7C18" w:rsidP="000B7C18" w14:paraId="7BD92768" w14:textId="77777777">
      <w:pPr>
        <w:ind w:firstLine="1418"/>
        <w:jc w:val="both"/>
        <w:outlineLvl w:val="0"/>
        <w:rPr>
          <w:rFonts w:ascii="Arial" w:hAnsi="Arial" w:cs="Arial"/>
          <w:sz w:val="22"/>
          <w:szCs w:val="22"/>
        </w:rPr>
      </w:pPr>
      <w:r>
        <w:rPr>
          <w:rFonts w:ascii="Arial" w:hAnsi="Arial" w:cs="Arial"/>
          <w:sz w:val="22"/>
          <w:szCs w:val="22"/>
        </w:rPr>
        <w:t>A justificativa ressalta que o projeto de lei complementar visa adequar a taxa de administração dos serviços previdenciários do Município de Botucatu às novas disposições da Portaria nº 19.451/20 da Secretaria Especial de Previdência e Trabalho, do Ministério da Economia.</w:t>
      </w:r>
    </w:p>
    <w:p w:rsidR="000B7C18" w:rsidP="000B7C18" w14:paraId="54C9C2EE" w14:textId="77777777">
      <w:pPr>
        <w:pStyle w:val="Corpodotexto"/>
        <w:tabs>
          <w:tab w:val="left" w:pos="-510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szCs w:val="22"/>
        </w:rPr>
      </w:pPr>
      <w:r>
        <w:rPr>
          <w:rFonts w:ascii="Arial" w:hAnsi="Arial" w:cs="Arial"/>
          <w:sz w:val="22"/>
          <w:szCs w:val="22"/>
        </w:rPr>
        <w:t xml:space="preserve">                      Ainda consta que “</w:t>
      </w:r>
      <w:r>
        <w:rPr>
          <w:rFonts w:ascii="Arial" w:hAnsi="Arial" w:cs="Arial"/>
          <w:i/>
          <w:sz w:val="22"/>
          <w:szCs w:val="22"/>
        </w:rPr>
        <w:t>tal taxa de administração se refere às receitas administrativas da entidade previdenciária para fazer frente ao custo administrativo da entidade autárquica na administração do Fundo de Previdência. É através desta taxa, adicionada na alíquota patronal normal do ente empregador, que o BOTUPREV mantém todos seus serviços administrativos como por exemplo, despesas com materiais, locação e despesas com pessoal.</w:t>
      </w:r>
      <w:r>
        <w:rPr>
          <w:i/>
          <w:sz w:val="22"/>
          <w:szCs w:val="22"/>
        </w:rPr>
        <w:t xml:space="preserve"> (...) </w:t>
      </w:r>
      <w:r>
        <w:rPr>
          <w:rFonts w:ascii="Arial" w:hAnsi="Arial" w:cs="Arial"/>
          <w:i/>
          <w:sz w:val="22"/>
          <w:szCs w:val="22"/>
        </w:rPr>
        <w:t>limite de gastos com as despesas custeadas com a taxa de administração deixa de ser calculado sobre o valor total das remunerações, proventos e pensões dos segurados e pensionistas vinculados ao RPPS de Botucatu relativo ao exercício financeiro anterior na forma do art. 192 da LCM nº 1.231/2017 e passa a ser obtido somente sobre o somatório da remuneração de contribuição de todos os servidores ativos vinculados ao RPPS, apurado no exercício financeiro anterior. Ou seja, pelos novos parâmetros há uma redução da base de cálculo do limite dos gastos com as despesas custeadas pela Taxa de Administração, o que está sendo plenamente adequada na matéria projetada”</w:t>
      </w:r>
      <w:r>
        <w:rPr>
          <w:rFonts w:ascii="Arial" w:hAnsi="Arial" w:cs="Arial"/>
          <w:sz w:val="22"/>
          <w:szCs w:val="22"/>
        </w:rPr>
        <w:t>.</w:t>
      </w:r>
    </w:p>
    <w:p w:rsidR="000B7C18" w:rsidP="000B7C18" w14:paraId="5B4811EE" w14:textId="77777777">
      <w:pPr>
        <w:pStyle w:val="Corpodotexto"/>
        <w:tabs>
          <w:tab w:val="left" w:pos="-510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8"/>
        <w:rPr>
          <w:rFonts w:ascii="Arial" w:hAnsi="Arial" w:cs="Arial"/>
          <w:sz w:val="22"/>
          <w:szCs w:val="22"/>
        </w:rPr>
      </w:pPr>
      <w:r>
        <w:rPr>
          <w:rFonts w:ascii="Arial" w:hAnsi="Arial" w:cs="Arial"/>
          <w:sz w:val="22"/>
          <w:szCs w:val="22"/>
        </w:rPr>
        <w:t>Além disso, de acordo com o Poder Executivo, a presente matéria é necessária para fins de cumprimento das obrigações impostas através de disposições federais superiores.</w:t>
      </w:r>
    </w:p>
    <w:p w:rsidR="000B7C18" w:rsidP="000B7C18" w14:paraId="76E4BFC2" w14:textId="77777777">
      <w:pPr>
        <w:pStyle w:val="BodyText"/>
        <w:tabs>
          <w:tab w:val="left" w:pos="-623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 xml:space="preserve">                   Sendo assim, cabe-nos, nesta oportunidade, manifestar pelo prosseguimento do projeto, reservando nosso direito de manifestação em Plenário, quando este constar da pauta de discussões.</w:t>
      </w:r>
    </w:p>
    <w:p w:rsidR="000B7C18" w:rsidP="000B7C18" w14:paraId="409D6FAF" w14:textId="77777777">
      <w:pPr>
        <w:jc w:val="both"/>
        <w:rPr>
          <w:rFonts w:ascii="Arial" w:hAnsi="Arial" w:cs="Arial"/>
          <w:sz w:val="22"/>
          <w:szCs w:val="22"/>
        </w:rPr>
      </w:pPr>
    </w:p>
    <w:p w:rsidR="000B7C18" w:rsidP="000B7C18" w14:paraId="0E2B311D" w14:textId="2457BAF4">
      <w:pPr>
        <w:tabs>
          <w:tab w:val="left" w:pos="0"/>
        </w:tabs>
        <w:jc w:val="center"/>
        <w:rPr>
          <w:rFonts w:ascii="Arial" w:hAnsi="Arial" w:cs="Arial"/>
          <w:sz w:val="22"/>
          <w:szCs w:val="22"/>
        </w:rPr>
      </w:pPr>
      <w:r>
        <w:rPr>
          <w:rFonts w:ascii="Arial" w:hAnsi="Arial" w:cs="Arial"/>
          <w:sz w:val="22"/>
          <w:szCs w:val="22"/>
        </w:rPr>
        <w:t>Plenário “Vereador Laurindo Ezidoro Jaqueta”, 23 de novembro de 2021.</w:t>
      </w:r>
    </w:p>
    <w:p w:rsidR="000B7C18" w:rsidP="000B7C18" w14:paraId="2A07D1D2" w14:textId="77777777">
      <w:pPr>
        <w:tabs>
          <w:tab w:val="left" w:pos="0"/>
          <w:tab w:val="center" w:pos="4320"/>
          <w:tab w:val="right" w:pos="8640"/>
        </w:tabs>
        <w:rPr>
          <w:rFonts w:ascii="Arial" w:hAnsi="Arial" w:cs="Arial"/>
          <w:sz w:val="22"/>
          <w:szCs w:val="22"/>
        </w:rPr>
      </w:pPr>
    </w:p>
    <w:p w:rsidR="000B7C18" w:rsidP="000B7C18" w14:paraId="0909262E" w14:textId="77777777">
      <w:pPr>
        <w:tabs>
          <w:tab w:val="left" w:pos="0"/>
          <w:tab w:val="center" w:pos="4320"/>
          <w:tab w:val="right" w:pos="8640"/>
        </w:tabs>
        <w:rPr>
          <w:rFonts w:ascii="Arial" w:hAnsi="Arial" w:cs="Arial"/>
          <w:sz w:val="22"/>
          <w:szCs w:val="22"/>
        </w:rPr>
      </w:pPr>
    </w:p>
    <w:p w:rsidR="000B7C18" w:rsidP="000B7C18" w14:paraId="3F0A71BA" w14:textId="77777777">
      <w:pPr>
        <w:tabs>
          <w:tab w:val="left" w:pos="0"/>
          <w:tab w:val="center" w:pos="4320"/>
          <w:tab w:val="right" w:pos="8640"/>
        </w:tabs>
        <w:rPr>
          <w:rFonts w:ascii="Arial" w:hAnsi="Arial" w:cs="Arial"/>
          <w:sz w:val="22"/>
          <w:szCs w:val="22"/>
        </w:rPr>
      </w:pPr>
    </w:p>
    <w:p w:rsidR="000B7C18" w:rsidP="000B7C18" w14:paraId="0EB9BD32" w14:textId="77777777">
      <w:pPr>
        <w:jc w:val="center"/>
        <w:rPr>
          <w:rFonts w:ascii="Arial" w:hAnsi="Arial" w:cs="Arial"/>
          <w:b/>
          <w:sz w:val="22"/>
          <w:szCs w:val="22"/>
        </w:rPr>
      </w:pPr>
      <w:r>
        <w:rPr>
          <w:rFonts w:ascii="Arial" w:hAnsi="Arial" w:cs="Arial"/>
          <w:sz w:val="22"/>
          <w:szCs w:val="22"/>
        </w:rPr>
        <w:t>Vereador</w:t>
      </w:r>
      <w:r>
        <w:rPr>
          <w:rFonts w:ascii="Arial" w:hAnsi="Arial" w:cs="Arial"/>
          <w:b/>
          <w:sz w:val="22"/>
          <w:szCs w:val="22"/>
        </w:rPr>
        <w:t xml:space="preserve"> SARGENTO LAUDO</w:t>
      </w:r>
    </w:p>
    <w:p w:rsidR="000B7C18" w:rsidP="000B7C18" w14:paraId="069BEBBA" w14:textId="77777777">
      <w:pPr>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Cs/>
          <w:sz w:val="22"/>
          <w:szCs w:val="22"/>
        </w:rPr>
        <w:t>Presidente</w:t>
      </w:r>
    </w:p>
    <w:p w:rsidR="000B7C18" w:rsidP="000B7C18" w14:paraId="0F2C0F0A" w14:textId="77777777">
      <w:pPr>
        <w:rPr>
          <w:rFonts w:ascii="Arial" w:hAnsi="Arial" w:cs="Arial"/>
          <w:bCs/>
          <w:sz w:val="22"/>
          <w:szCs w:val="22"/>
        </w:rPr>
      </w:pPr>
    </w:p>
    <w:p w:rsidR="000B7C18" w:rsidP="000B7C18" w14:paraId="28499AB9" w14:textId="77777777">
      <w:pPr>
        <w:rPr>
          <w:rFonts w:ascii="Arial" w:hAnsi="Arial" w:cs="Arial"/>
          <w:b/>
          <w:sz w:val="22"/>
          <w:szCs w:val="22"/>
        </w:rPr>
      </w:pPr>
    </w:p>
    <w:tbl>
      <w:tblPr>
        <w:tblW w:w="0" w:type="auto"/>
        <w:tblLook w:val="04A0"/>
      </w:tblPr>
      <w:tblGrid>
        <w:gridCol w:w="4243"/>
        <w:gridCol w:w="4262"/>
      </w:tblGrid>
      <w:tr w14:paraId="6D27BB53" w14:textId="77777777" w:rsidTr="000B7C18">
        <w:tblPrEx>
          <w:tblW w:w="0" w:type="auto"/>
          <w:tblLook w:val="04A0"/>
        </w:tblPrEx>
        <w:tc>
          <w:tcPr>
            <w:tcW w:w="4558" w:type="dxa"/>
            <w:hideMark/>
          </w:tcPr>
          <w:p w:rsidR="000B7C18" w14:paraId="2AC16581" w14:textId="77777777">
            <w:pPr>
              <w:spacing w:line="256" w:lineRule="auto"/>
              <w:jc w:val="center"/>
              <w:rPr>
                <w:rFonts w:ascii="Arial" w:hAnsi="Arial" w:cs="Arial"/>
                <w:b/>
                <w:sz w:val="22"/>
                <w:szCs w:val="22"/>
                <w:lang w:eastAsia="en-US"/>
              </w:rPr>
            </w:pPr>
            <w:r>
              <w:rPr>
                <w:rFonts w:ascii="Arial" w:hAnsi="Arial" w:cs="Arial"/>
                <w:sz w:val="22"/>
                <w:szCs w:val="22"/>
                <w:lang w:eastAsia="en-US"/>
              </w:rPr>
              <w:t xml:space="preserve">Vereador </w:t>
            </w:r>
            <w:r>
              <w:rPr>
                <w:rFonts w:ascii="Arial" w:hAnsi="Arial" w:cs="Arial"/>
                <w:b/>
                <w:sz w:val="22"/>
                <w:szCs w:val="22"/>
                <w:lang w:eastAsia="en-US"/>
              </w:rPr>
              <w:t>SILVIO</w:t>
            </w:r>
          </w:p>
        </w:tc>
        <w:tc>
          <w:tcPr>
            <w:tcW w:w="4558" w:type="dxa"/>
            <w:hideMark/>
          </w:tcPr>
          <w:p w:rsidR="000B7C18" w14:paraId="585FC57A" w14:textId="77777777">
            <w:pPr>
              <w:spacing w:line="256" w:lineRule="auto"/>
              <w:jc w:val="center"/>
              <w:rPr>
                <w:rFonts w:ascii="Arial" w:hAnsi="Arial" w:cs="Arial"/>
                <w:b/>
                <w:sz w:val="22"/>
                <w:szCs w:val="22"/>
                <w:lang w:eastAsia="en-US"/>
              </w:rPr>
            </w:pPr>
            <w:r>
              <w:rPr>
                <w:rFonts w:ascii="Arial" w:hAnsi="Arial" w:cs="Arial"/>
                <w:sz w:val="22"/>
                <w:szCs w:val="22"/>
                <w:lang w:eastAsia="en-US"/>
              </w:rPr>
              <w:t xml:space="preserve">Vereador </w:t>
            </w:r>
            <w:r>
              <w:rPr>
                <w:rFonts w:ascii="Arial" w:hAnsi="Arial" w:cs="Arial"/>
                <w:b/>
                <w:sz w:val="22"/>
                <w:szCs w:val="22"/>
                <w:lang w:eastAsia="en-US"/>
              </w:rPr>
              <w:t>MARCELO SLEIMAN</w:t>
            </w:r>
          </w:p>
        </w:tc>
      </w:tr>
      <w:tr w14:paraId="7A37C95F" w14:textId="77777777" w:rsidTr="000B7C18">
        <w:tblPrEx>
          <w:tblW w:w="0" w:type="auto"/>
          <w:tblLook w:val="04A0"/>
        </w:tblPrEx>
        <w:tc>
          <w:tcPr>
            <w:tcW w:w="4558" w:type="dxa"/>
            <w:hideMark/>
          </w:tcPr>
          <w:p w:rsidR="000B7C18" w14:paraId="284A4F79" w14:textId="77777777">
            <w:pPr>
              <w:spacing w:line="256" w:lineRule="auto"/>
              <w:jc w:val="center"/>
              <w:rPr>
                <w:rFonts w:ascii="Arial" w:hAnsi="Arial" w:cs="Arial"/>
                <w:b/>
                <w:sz w:val="22"/>
                <w:szCs w:val="22"/>
                <w:lang w:eastAsia="en-US"/>
              </w:rPr>
            </w:pPr>
            <w:r>
              <w:rPr>
                <w:rFonts w:ascii="Arial" w:hAnsi="Arial" w:cs="Arial"/>
                <w:sz w:val="22"/>
                <w:szCs w:val="22"/>
                <w:lang w:eastAsia="en-US"/>
              </w:rPr>
              <w:t>Relator</w:t>
            </w:r>
          </w:p>
        </w:tc>
        <w:tc>
          <w:tcPr>
            <w:tcW w:w="4558" w:type="dxa"/>
            <w:hideMark/>
          </w:tcPr>
          <w:p w:rsidR="000B7C18" w14:paraId="45D79339" w14:textId="77777777">
            <w:pPr>
              <w:spacing w:line="256" w:lineRule="auto"/>
              <w:jc w:val="center"/>
              <w:rPr>
                <w:rFonts w:ascii="Arial" w:hAnsi="Arial" w:cs="Arial"/>
                <w:b/>
                <w:sz w:val="22"/>
                <w:szCs w:val="22"/>
                <w:lang w:eastAsia="en-US"/>
              </w:rPr>
            </w:pPr>
            <w:r>
              <w:rPr>
                <w:rFonts w:ascii="Arial" w:hAnsi="Arial" w:cs="Arial"/>
                <w:sz w:val="22"/>
                <w:szCs w:val="22"/>
                <w:lang w:eastAsia="en-US"/>
              </w:rPr>
              <w:t>Membro</w:t>
            </w:r>
          </w:p>
        </w:tc>
      </w:tr>
    </w:tbl>
    <w:p w:rsidR="000B7C18" w:rsidP="000B7C18" w14:paraId="49352F48" w14:textId="77777777">
      <w:pPr>
        <w:rPr>
          <w:sz w:val="22"/>
          <w:szCs w:val="22"/>
        </w:rPr>
      </w:pPr>
    </w:p>
    <w:p w:rsidR="00256D6C" w14:paraId="62BB5E5A" w14:textId="7E7A29ED">
      <w:pPr>
        <w:jc w:val="both"/>
        <w:rPr>
          <w:sz w:val="24"/>
          <w:szCs w:val="24"/>
        </w:rPr>
      </w:pPr>
    </w:p>
    <w:p w:rsidR="00256D6C" w14:paraId="491F8C45" w14:textId="77777777">
      <w:pPr>
        <w:jc w:val="both"/>
        <w:rPr>
          <w:sz w:val="24"/>
          <w:szCs w:val="24"/>
        </w:rPr>
      </w:pPr>
    </w:p>
    <w:p w:rsidR="00256D6C" w14:paraId="5A550A48" w14:textId="77777777">
      <w:pPr>
        <w:jc w:val="both"/>
        <w:rPr>
          <w:sz w:val="24"/>
          <w:szCs w:val="24"/>
        </w:rPr>
      </w:pPr>
    </w:p>
    <w:p w:rsidR="00256D6C" w14:paraId="0B78567C" w14:textId="77777777">
      <w:pPr>
        <w:ind w:firstLine="2835"/>
        <w:jc w:val="both"/>
        <w:rPr>
          <w:sz w:val="26"/>
        </w:rPr>
      </w:pPr>
    </w:p>
    <w:p w:rsidR="00256D6C" w14:paraId="229A7CDC" w14:textId="77777777">
      <w:pPr>
        <w:ind w:firstLine="2835"/>
        <w:jc w:val="both"/>
        <w:rPr>
          <w:sz w:val="26"/>
        </w:rPr>
      </w:pPr>
      <w:bookmarkStart w:id="0" w:name="_GoBack"/>
      <w:bookmarkEnd w:id="0"/>
    </w:p>
    <w:sectPr w:rsidSect="000B7C18">
      <w:headerReference w:type="default" r:id="rId4"/>
      <w:pgSz w:w="11907" w:h="16840" w:code="9"/>
      <w:pgMar w:top="1440" w:right="1701" w:bottom="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6D6C" w14:paraId="6983CCB0" w14:textId="77777777">
    <w:pPr>
      <w:jc w:val="center"/>
      <w:rPr>
        <w:b/>
        <w:sz w:val="28"/>
      </w:rPr>
    </w:pPr>
  </w:p>
  <w:p w:rsidR="00256D6C" w14:paraId="005074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7A"/>
    <w:rsid w:val="000B7C18"/>
    <w:rsid w:val="001D097A"/>
    <w:rsid w:val="00256D6C"/>
    <w:rsid w:val="00325609"/>
    <w:rsid w:val="008F3134"/>
    <w:rsid w:val="009E1E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3F4A4D6-F21C-4D02-A1C3-CDBBF916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Indent">
    <w:name w:val="Body Text Indent"/>
    <w:basedOn w:val="Normal"/>
    <w:semiHidden/>
    <w:pPr>
      <w:ind w:firstLine="2127"/>
      <w:jc w:val="both"/>
    </w:pPr>
    <w:rPr>
      <w:sz w:val="26"/>
      <w:szCs w:val="24"/>
    </w:rPr>
  </w:style>
  <w:style w:type="paragraph" w:styleId="BodyTextIndent3">
    <w:name w:val="Body Text Indent 3"/>
    <w:basedOn w:val="Normal"/>
    <w:semiHidden/>
    <w:pPr>
      <w:ind w:firstLine="2835"/>
      <w:jc w:val="both"/>
    </w:pPr>
    <w:rPr>
      <w:sz w:val="26"/>
      <w:szCs w:val="24"/>
    </w:rPr>
  </w:style>
  <w:style w:type="paragraph" w:styleId="BodyText">
    <w:name w:val="Body Text"/>
    <w:basedOn w:val="Normal"/>
    <w:link w:val="CorpodetextoChar"/>
    <w:uiPriority w:val="99"/>
    <w:semiHidden/>
    <w:unhideWhenUsed/>
    <w:rsid w:val="000B7C18"/>
    <w:pPr>
      <w:spacing w:after="120"/>
    </w:pPr>
  </w:style>
  <w:style w:type="character" w:customStyle="1" w:styleId="CorpodetextoChar">
    <w:name w:val="Corpo de texto Char"/>
    <w:basedOn w:val="DefaultParagraphFont"/>
    <w:link w:val="BodyText"/>
    <w:uiPriority w:val="99"/>
    <w:semiHidden/>
    <w:rsid w:val="000B7C18"/>
  </w:style>
  <w:style w:type="paragraph" w:customStyle="1" w:styleId="Corpodotexto">
    <w:name w:val="Corpo do texto"/>
    <w:basedOn w:val="Normal"/>
    <w:rsid w:val="000B7C18"/>
    <w:pPr>
      <w:widowControl w:val="0"/>
      <w:autoSpaceDE w:val="0"/>
      <w:autoSpaceDN w:val="0"/>
      <w:adjustRightInd w:val="0"/>
      <w:spacing w:after="283"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2020-07-10T14:47:00Z</cp:lastPrinted>
  <dcterms:created xsi:type="dcterms:W3CDTF">2020-07-10T14:47:00Z</dcterms:created>
  <dcterms:modified xsi:type="dcterms:W3CDTF">2021-11-25T14:03:00Z</dcterms:modified>
</cp:coreProperties>
</file>