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0331" w:rsidRPr="005F2AFF" w:rsidP="00110331" w14:paraId="1D1967A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110331" w:rsidRPr="005F2AFF" w:rsidP="00110331" w14:paraId="72A9F59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110331" w:rsidRPr="005F2AFF" w:rsidP="00110331" w14:paraId="7D3E803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10331" w:rsidRPr="005F2AFF" w:rsidP="00110331" w14:paraId="61CA5F6D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10331" w:rsidRPr="005F2AFF" w:rsidP="00110331" w14:paraId="2BBBCC83" w14:textId="121F2B0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Resolução</w:t>
      </w:r>
      <w:r>
        <w:rPr>
          <w:rFonts w:ascii="Arial" w:hAnsi="Arial" w:cs="Arial"/>
          <w:bCs/>
          <w:sz w:val="24"/>
          <w:szCs w:val="24"/>
        </w:rPr>
        <w:t xml:space="preserve"> nº. 03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:rsidR="00110331" w:rsidRPr="005F2AFF" w:rsidP="00110331" w14:paraId="5EA1975A" w14:textId="3CF7EAE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110331">
        <w:rPr>
          <w:rFonts w:ascii="Arial" w:hAnsi="Arial" w:cs="Arial"/>
          <w:bCs/>
          <w:sz w:val="24"/>
          <w:szCs w:val="24"/>
        </w:rPr>
        <w:t>Dispõe</w:t>
      </w:r>
      <w:r w:rsidRPr="00110331">
        <w:rPr>
          <w:rFonts w:ascii="Arial" w:hAnsi="Arial" w:cs="Arial"/>
          <w:bCs/>
          <w:sz w:val="24"/>
          <w:szCs w:val="24"/>
        </w:rPr>
        <w:t xml:space="preserve"> sobre adesão ao Parlamento Regional de Botucatu.</w:t>
      </w:r>
    </w:p>
    <w:p w:rsidR="00110331" w:rsidRPr="005F2AFF" w:rsidP="00110331" w14:paraId="783848C2" w14:textId="32705D3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Membros da Mesa</w:t>
      </w:r>
    </w:p>
    <w:p w:rsidR="00110331" w:rsidRPr="005F2AFF" w:rsidP="00110331" w14:paraId="224C3E5A" w14:textId="77777777">
      <w:pPr>
        <w:jc w:val="both"/>
        <w:rPr>
          <w:rFonts w:ascii="Arial" w:hAnsi="Arial" w:cs="Arial"/>
          <w:sz w:val="24"/>
          <w:szCs w:val="24"/>
        </w:rPr>
      </w:pPr>
    </w:p>
    <w:p w:rsidR="00110331" w:rsidP="00110331" w14:paraId="6200D08B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</w:p>
    <w:p w:rsidR="00110331" w:rsidRPr="00110331" w:rsidP="00110331" w14:paraId="23C50FF0" w14:textId="55AE255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justificativa traz que o</w:t>
      </w:r>
      <w:r w:rsidRPr="00110331">
        <w:rPr>
          <w:rFonts w:ascii="Arial" w:hAnsi="Arial" w:cs="Arial"/>
          <w:sz w:val="24"/>
          <w:szCs w:val="24"/>
        </w:rPr>
        <w:t xml:space="preserve"> Parlamento Regional é uma proposta que vai estimular o desenvolvimento das regiões com a participação do Poder Legislativo. Como órgão integrante do arranjo institucional da Governança </w:t>
      </w:r>
      <w:r w:rsidRPr="00110331">
        <w:rPr>
          <w:rFonts w:ascii="Arial" w:hAnsi="Arial" w:cs="Arial"/>
          <w:sz w:val="24"/>
          <w:szCs w:val="24"/>
        </w:rPr>
        <w:t>Interfederativa</w:t>
      </w:r>
      <w:r w:rsidRPr="00110331">
        <w:rPr>
          <w:rFonts w:ascii="Arial" w:hAnsi="Arial" w:cs="Arial"/>
          <w:sz w:val="24"/>
          <w:szCs w:val="24"/>
        </w:rPr>
        <w:t>, objetiva promover a interlocução entre o Conselho de Desenvolvimento e as Câmaras Municipais, apresentar pautas exclusivamente de interesse regional ao Conselho de Desenvolvimento, e por meio de seus integrantes, apresentar nas respectivas Câmaras Legislativas os projetos de lei de sua competência para as políticas públicas de âmbito local e regional.</w:t>
      </w:r>
    </w:p>
    <w:p w:rsidR="00110331" w:rsidRPr="00110331" w:rsidP="00110331" w14:paraId="5A01262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10331" w:rsidP="00110331" w14:paraId="6A8BBD2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Tal</w:t>
      </w:r>
      <w:r w:rsidRPr="00110331">
        <w:rPr>
          <w:rFonts w:ascii="Arial" w:hAnsi="Arial" w:cs="Arial"/>
          <w:sz w:val="24"/>
          <w:szCs w:val="24"/>
        </w:rPr>
        <w:t xml:space="preserve"> Parlamento </w:t>
      </w:r>
      <w:r>
        <w:rPr>
          <w:rFonts w:ascii="Arial" w:hAnsi="Arial" w:cs="Arial"/>
          <w:sz w:val="24"/>
          <w:szCs w:val="24"/>
        </w:rPr>
        <w:t xml:space="preserve">envolverá os </w:t>
      </w:r>
      <w:r w:rsidRPr="00110331">
        <w:rPr>
          <w:rFonts w:ascii="Arial" w:hAnsi="Arial" w:cs="Arial"/>
          <w:sz w:val="24"/>
          <w:szCs w:val="24"/>
        </w:rPr>
        <w:t xml:space="preserve">seguintes municípios: Botucatu, Anhembi, Itatinga, Pereiras, </w:t>
      </w:r>
      <w:r w:rsidRPr="00110331">
        <w:rPr>
          <w:rFonts w:ascii="Arial" w:hAnsi="Arial" w:cs="Arial"/>
          <w:sz w:val="24"/>
          <w:szCs w:val="24"/>
        </w:rPr>
        <w:t>Areiópolis</w:t>
      </w:r>
      <w:r w:rsidRPr="00110331">
        <w:rPr>
          <w:rFonts w:ascii="Arial" w:hAnsi="Arial" w:cs="Arial"/>
          <w:sz w:val="24"/>
          <w:szCs w:val="24"/>
        </w:rPr>
        <w:t xml:space="preserve">, Conchas, Laranjal Paulista, </w:t>
      </w:r>
      <w:r w:rsidRPr="00110331">
        <w:rPr>
          <w:rFonts w:ascii="Arial" w:hAnsi="Arial" w:cs="Arial"/>
          <w:sz w:val="24"/>
          <w:szCs w:val="24"/>
        </w:rPr>
        <w:t>Porangaba</w:t>
      </w:r>
      <w:r w:rsidRPr="00110331">
        <w:rPr>
          <w:rFonts w:ascii="Arial" w:hAnsi="Arial" w:cs="Arial"/>
          <w:sz w:val="24"/>
          <w:szCs w:val="24"/>
        </w:rPr>
        <w:t xml:space="preserve">, São Manuel, Bofete, </w:t>
      </w:r>
      <w:r w:rsidRPr="00110331">
        <w:rPr>
          <w:rFonts w:ascii="Arial" w:hAnsi="Arial" w:cs="Arial"/>
          <w:sz w:val="24"/>
          <w:szCs w:val="24"/>
        </w:rPr>
        <w:t>Guareí</w:t>
      </w:r>
      <w:r w:rsidRPr="00110331">
        <w:rPr>
          <w:rFonts w:ascii="Arial" w:hAnsi="Arial" w:cs="Arial"/>
          <w:sz w:val="24"/>
          <w:szCs w:val="24"/>
        </w:rPr>
        <w:t>, Pardinho, Prat</w:t>
      </w:r>
      <w:r>
        <w:rPr>
          <w:rFonts w:ascii="Arial" w:hAnsi="Arial" w:cs="Arial"/>
          <w:sz w:val="24"/>
          <w:szCs w:val="24"/>
        </w:rPr>
        <w:t xml:space="preserve">ânia, Torre de Pedra e Quadra. </w:t>
      </w:r>
    </w:p>
    <w:p w:rsidR="00110331" w:rsidRPr="00110331" w:rsidP="00110331" w14:paraId="3057A09C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110331">
        <w:rPr>
          <w:rFonts w:ascii="Arial" w:hAnsi="Arial" w:cs="Arial"/>
          <w:sz w:val="24"/>
          <w:szCs w:val="24"/>
        </w:rPr>
        <w:t>No que se refere à Comissão de Justiça, quanto à redação, nada a reparar sendo que a matéria foi examinada pelo Procurador Legislativo desta Casa que apontou a legalidade e a constitucionalidade da iniciativa.</w:t>
      </w:r>
    </w:p>
    <w:p w:rsidR="00110331" w:rsidRPr="00110331" w:rsidP="00110331" w14:paraId="5D64EA2D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10331" w:rsidRPr="00110331" w:rsidP="00110331" w14:paraId="73C477F2" w14:textId="2CB957AA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110331">
        <w:rPr>
          <w:rFonts w:ascii="Arial" w:hAnsi="Arial" w:cs="Arial"/>
          <w:sz w:val="24"/>
          <w:szCs w:val="24"/>
        </w:rPr>
        <w:t xml:space="preserve">Cabe-nos, nesta </w:t>
      </w:r>
      <w:bookmarkStart w:id="0" w:name="_GoBack"/>
      <w:bookmarkEnd w:id="0"/>
      <w:r w:rsidRPr="00110331">
        <w:rPr>
          <w:rFonts w:ascii="Arial" w:hAnsi="Arial" w:cs="Arial"/>
          <w:sz w:val="24"/>
          <w:szCs w:val="24"/>
        </w:rPr>
        <w:t>oportunidade, manifestar pelo prosseguimento do projeto, reservando nosso direito de manifestação em Plenário, quando este constar da pauta de discussões.</w:t>
      </w:r>
    </w:p>
    <w:p w:rsidR="00110331" w:rsidRPr="00110331" w:rsidP="00110331" w14:paraId="533A6EEE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331" w:rsidRPr="005F2AFF" w:rsidP="00110331" w14:paraId="03BE8F95" w14:textId="77777777">
      <w:pPr>
        <w:jc w:val="both"/>
        <w:rPr>
          <w:rFonts w:ascii="Arial" w:hAnsi="Arial" w:cs="Arial"/>
          <w:sz w:val="24"/>
          <w:szCs w:val="24"/>
        </w:rPr>
      </w:pPr>
    </w:p>
    <w:p w:rsidR="00110331" w:rsidRPr="005F2AFF" w:rsidP="00110331" w14:paraId="409708EB" w14:textId="0127B69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07 de dez</w:t>
      </w:r>
      <w:r w:rsidRPr="005F2AFF">
        <w:rPr>
          <w:rFonts w:ascii="Arial" w:hAnsi="Arial" w:cs="Arial"/>
          <w:sz w:val="24"/>
          <w:szCs w:val="24"/>
        </w:rPr>
        <w:t>embro de 2021.</w:t>
      </w:r>
    </w:p>
    <w:p w:rsidR="00110331" w:rsidRPr="005F2AFF" w:rsidP="00110331" w14:paraId="7D3DE54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0331" w:rsidRPr="005F2AFF" w:rsidP="00110331" w14:paraId="4A91C0B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0331" w:rsidRPr="005F2AFF" w:rsidP="00110331" w14:paraId="549A0F5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0331" w:rsidRPr="005F2AFF" w:rsidP="00110331" w14:paraId="354BF3B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10331" w:rsidRPr="005F2AFF" w:rsidP="00110331" w14:paraId="3DD1B5A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10331" w:rsidRPr="005F2AFF" w:rsidP="00110331" w14:paraId="3131CEE3" w14:textId="77777777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:rsidR="00110331" w:rsidRPr="005F2AFF" w:rsidP="00110331" w14:paraId="5EDA956F" w14:textId="77777777">
      <w:pPr>
        <w:rPr>
          <w:rFonts w:ascii="Arial" w:hAnsi="Arial" w:cs="Arial"/>
          <w:bCs/>
          <w:sz w:val="24"/>
          <w:szCs w:val="24"/>
        </w:rPr>
      </w:pPr>
    </w:p>
    <w:p w:rsidR="00110331" w:rsidRPr="005F2AFF" w:rsidP="00110331" w14:paraId="02A39B4B" w14:textId="77777777">
      <w:pPr>
        <w:rPr>
          <w:rFonts w:ascii="Arial" w:hAnsi="Arial" w:cs="Arial"/>
          <w:bCs/>
          <w:sz w:val="24"/>
          <w:szCs w:val="24"/>
        </w:rPr>
      </w:pPr>
    </w:p>
    <w:p w:rsidR="00110331" w:rsidRPr="005F2AFF" w:rsidP="00110331" w14:paraId="59894929" w14:textId="77777777">
      <w:pPr>
        <w:rPr>
          <w:rFonts w:ascii="Arial" w:hAnsi="Arial" w:cs="Arial"/>
          <w:bCs/>
          <w:sz w:val="24"/>
          <w:szCs w:val="24"/>
        </w:rPr>
      </w:pPr>
    </w:p>
    <w:p w:rsidR="00110331" w:rsidRPr="005F2AFF" w:rsidP="00110331" w14:paraId="02C89D97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1F3FD7AA" w14:textId="77777777" w:rsidTr="0092799A">
        <w:tblPrEx>
          <w:tblW w:w="0" w:type="auto"/>
          <w:tblLook w:val="04A0"/>
        </w:tblPrEx>
        <w:tc>
          <w:tcPr>
            <w:tcW w:w="4558" w:type="dxa"/>
            <w:hideMark/>
          </w:tcPr>
          <w:p w:rsidR="00110331" w:rsidRPr="005F2AFF" w:rsidP="0092799A" w14:paraId="65525F5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110331" w:rsidRPr="005F2AFF" w:rsidP="0092799A" w14:paraId="2420F41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33A057F" w14:textId="77777777" w:rsidTr="0092799A">
        <w:tblPrEx>
          <w:tblW w:w="0" w:type="auto"/>
          <w:tblLook w:val="04A0"/>
        </w:tblPrEx>
        <w:tc>
          <w:tcPr>
            <w:tcW w:w="4558" w:type="dxa"/>
            <w:hideMark/>
          </w:tcPr>
          <w:p w:rsidR="00110331" w:rsidRPr="005F2AFF" w:rsidP="0092799A" w14:paraId="6F41640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110331" w:rsidRPr="005F2AFF" w:rsidP="0092799A" w14:paraId="3AA7677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110331" w:rsidP="00110331" w14:paraId="23F19FDF" w14:textId="77777777">
      <w:pPr>
        <w:rPr>
          <w:sz w:val="24"/>
          <w:szCs w:val="24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10331"/>
    <w:rsid w:val="00206E3B"/>
    <w:rsid w:val="00527B79"/>
    <w:rsid w:val="005F2AFF"/>
    <w:rsid w:val="007D7635"/>
    <w:rsid w:val="008E372F"/>
    <w:rsid w:val="0092799A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110331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110331"/>
    <w:rPr>
      <w:sz w:val="24"/>
      <w:szCs w:val="26"/>
    </w:rPr>
  </w:style>
  <w:style w:type="paragraph" w:customStyle="1" w:styleId="Corpodotexto">
    <w:name w:val="Corpo do texto"/>
    <w:basedOn w:val="Normal"/>
    <w:rsid w:val="0011033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BodyText2">
    <w:name w:val="Body Text 2"/>
    <w:basedOn w:val="Normal"/>
    <w:link w:val="Corpodetexto2Char"/>
    <w:uiPriority w:val="99"/>
    <w:unhideWhenUsed/>
    <w:rsid w:val="00110331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11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2021-12-06T14:28:00Z</dcterms:modified>
</cp:coreProperties>
</file>