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B" w:rsidRPr="00D2498E" w:rsidRDefault="00B2650B" w:rsidP="00B2650B">
      <w:pPr>
        <w:spacing w:line="360" w:lineRule="auto"/>
        <w:ind w:left="2833"/>
        <w:rPr>
          <w:b/>
          <w:sz w:val="24"/>
          <w:szCs w:val="24"/>
        </w:rPr>
      </w:pPr>
      <w:r w:rsidRPr="00D2498E">
        <w:rPr>
          <w:b/>
          <w:sz w:val="24"/>
          <w:szCs w:val="24"/>
        </w:rPr>
        <w:t>PARECER JURÍDICO</w:t>
      </w:r>
    </w:p>
    <w:p w:rsidR="00B2650B" w:rsidRPr="00F7312F" w:rsidRDefault="00B2650B" w:rsidP="00B2650B">
      <w:pPr>
        <w:spacing w:line="360" w:lineRule="auto"/>
        <w:ind w:left="2833"/>
        <w:rPr>
          <w:sz w:val="24"/>
          <w:szCs w:val="24"/>
        </w:rPr>
      </w:pPr>
    </w:p>
    <w:p w:rsidR="00B2650B" w:rsidRPr="00D2498E" w:rsidRDefault="00B2650B" w:rsidP="00B2650B">
      <w:pPr>
        <w:spacing w:line="360" w:lineRule="auto"/>
        <w:jc w:val="both"/>
        <w:rPr>
          <w:sz w:val="24"/>
          <w:szCs w:val="24"/>
          <w:u w:val="single"/>
        </w:rPr>
      </w:pPr>
      <w:r w:rsidRPr="00D2498E">
        <w:rPr>
          <w:sz w:val="24"/>
          <w:szCs w:val="24"/>
          <w:u w:val="single"/>
        </w:rPr>
        <w:t>REFERÊNCIA: PROJE</w:t>
      </w:r>
      <w:r w:rsidR="00F7312F" w:rsidRPr="00D2498E">
        <w:rPr>
          <w:sz w:val="24"/>
          <w:szCs w:val="24"/>
          <w:u w:val="single"/>
        </w:rPr>
        <w:t>TO</w:t>
      </w:r>
      <w:r w:rsidR="00F75FA1">
        <w:rPr>
          <w:sz w:val="24"/>
          <w:szCs w:val="24"/>
          <w:u w:val="single"/>
        </w:rPr>
        <w:t xml:space="preserve"> DE LEI COMPLEMENTAR NÚMERO 001</w:t>
      </w:r>
      <w:r w:rsidR="000763E0">
        <w:rPr>
          <w:sz w:val="24"/>
          <w:szCs w:val="24"/>
          <w:u w:val="single"/>
        </w:rPr>
        <w:t>7</w:t>
      </w:r>
      <w:r w:rsidRPr="00D2498E">
        <w:rPr>
          <w:sz w:val="24"/>
          <w:szCs w:val="24"/>
          <w:u w:val="single"/>
        </w:rPr>
        <w:t xml:space="preserve">, DE </w:t>
      </w:r>
      <w:r w:rsidR="00EE6719">
        <w:rPr>
          <w:sz w:val="24"/>
          <w:szCs w:val="24"/>
          <w:u w:val="single"/>
        </w:rPr>
        <w:t>2</w:t>
      </w:r>
      <w:r w:rsidR="000763E0">
        <w:rPr>
          <w:sz w:val="24"/>
          <w:szCs w:val="24"/>
          <w:u w:val="single"/>
        </w:rPr>
        <w:t>2</w:t>
      </w:r>
      <w:r w:rsidR="00BE37D2">
        <w:rPr>
          <w:sz w:val="24"/>
          <w:szCs w:val="24"/>
          <w:u w:val="single"/>
        </w:rPr>
        <w:t xml:space="preserve"> DE JUNHO DE 202</w:t>
      </w:r>
      <w:r w:rsidR="000763E0">
        <w:rPr>
          <w:sz w:val="24"/>
          <w:szCs w:val="24"/>
          <w:u w:val="single"/>
        </w:rPr>
        <w:t>3</w:t>
      </w:r>
      <w:r w:rsidRPr="00D2498E">
        <w:rPr>
          <w:sz w:val="24"/>
          <w:szCs w:val="24"/>
          <w:u w:val="single"/>
        </w:rPr>
        <w:t>, DE AUTORIA DO PREFEITO MUNICIPAL, QUE DISPÕE SOBRE AS DIRETRIZES ORÇAMENTÁRIAS DO MUNICÍPIO DE BOTUCATU PARA A ELABOR</w:t>
      </w:r>
      <w:r w:rsidR="000763E0">
        <w:rPr>
          <w:sz w:val="24"/>
          <w:szCs w:val="24"/>
          <w:u w:val="single"/>
        </w:rPr>
        <w:t>AÇÃO DA LEI ORÇAMENTÁRIA DE 2024.</w:t>
      </w:r>
      <w:r w:rsidRPr="00D2498E">
        <w:rPr>
          <w:sz w:val="24"/>
          <w:szCs w:val="24"/>
          <w:u w:val="single"/>
        </w:rPr>
        <w:t xml:space="preserve"> </w:t>
      </w:r>
    </w:p>
    <w:p w:rsidR="00B2650B" w:rsidRDefault="00B2650B" w:rsidP="00B2650B">
      <w:pPr>
        <w:spacing w:line="360" w:lineRule="auto"/>
        <w:jc w:val="both"/>
        <w:rPr>
          <w:sz w:val="24"/>
          <w:szCs w:val="24"/>
        </w:rPr>
      </w:pPr>
    </w:p>
    <w:p w:rsidR="00A040A7" w:rsidRPr="00F7312F" w:rsidRDefault="00A040A7" w:rsidP="00B2650B">
      <w:pPr>
        <w:spacing w:line="360" w:lineRule="auto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 - O PROJETO DE LEI COMPLEMENTAR 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Trata-se de Projeto de Lei Complementar de autoria do Prefeito Municipal que dispõe sobre as Diretrizes Orçamentárias do Município de Botucatu para a elaboração da Lei Orçamentária de 2</w:t>
      </w:r>
      <w:r w:rsidR="000763E0">
        <w:rPr>
          <w:sz w:val="24"/>
          <w:szCs w:val="24"/>
        </w:rPr>
        <w:t>024</w:t>
      </w:r>
      <w:r w:rsidRPr="00F7312F">
        <w:rPr>
          <w:sz w:val="24"/>
          <w:szCs w:val="24"/>
        </w:rPr>
        <w:t>.</w:t>
      </w: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>II - ASPECTOS JURÍDICOS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Constituição Federal, em </w:t>
      </w:r>
      <w:r w:rsidR="00F93E20">
        <w:rPr>
          <w:sz w:val="24"/>
          <w:szCs w:val="24"/>
        </w:rPr>
        <w:t>matéria orçamentária prevê que l</w:t>
      </w:r>
      <w:r w:rsidRPr="00F7312F">
        <w:rPr>
          <w:sz w:val="24"/>
          <w:szCs w:val="24"/>
        </w:rPr>
        <w:t xml:space="preserve">eis de iniciativa do Poder Executivo estabelecerão o Plano Plurianual, as Diretrizes Orçamentárias e os Orçamentos Anuais (art. 165, </w:t>
      </w:r>
      <w:r w:rsidRPr="00F7312F">
        <w:rPr>
          <w:i/>
          <w:sz w:val="24"/>
          <w:szCs w:val="24"/>
        </w:rPr>
        <w:t>caput</w:t>
      </w:r>
      <w:r w:rsidRPr="00F7312F">
        <w:rPr>
          <w:sz w:val="24"/>
          <w:szCs w:val="24"/>
        </w:rPr>
        <w:t>).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âmbito do Município de Botucatu, pelo princípio da simetria, a Lei Orgânica traz previsão semelhante, </w:t>
      </w:r>
      <w:r w:rsidRPr="00F7312F">
        <w:rPr>
          <w:i/>
          <w:sz w:val="24"/>
          <w:szCs w:val="24"/>
        </w:rPr>
        <w:t xml:space="preserve">in </w:t>
      </w:r>
      <w:proofErr w:type="spellStart"/>
      <w:r w:rsidRPr="00F7312F">
        <w:rPr>
          <w:i/>
          <w:sz w:val="24"/>
          <w:szCs w:val="24"/>
        </w:rPr>
        <w:t>verbis</w:t>
      </w:r>
      <w:proofErr w:type="spellEnd"/>
      <w:r w:rsidRPr="00F7312F">
        <w:rPr>
          <w:sz w:val="24"/>
          <w:szCs w:val="24"/>
        </w:rPr>
        <w:t xml:space="preserve">: 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Art. 111 - Leis de Iniciativa do Executivo estabelecerão, com observância dos preceitos correspondentes da Constituição Federal: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I - Plano Plurianual;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 - </w:t>
      </w:r>
      <w:proofErr w:type="gramStart"/>
      <w:r w:rsidRPr="00FE1A09">
        <w:rPr>
          <w:i/>
          <w:sz w:val="22"/>
          <w:szCs w:val="22"/>
        </w:rPr>
        <w:t>as</w:t>
      </w:r>
      <w:proofErr w:type="gramEnd"/>
      <w:r w:rsidRPr="00FE1A09">
        <w:rPr>
          <w:i/>
          <w:sz w:val="22"/>
          <w:szCs w:val="22"/>
        </w:rPr>
        <w:t xml:space="preserve"> Diretrizes Orçamentárias;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III - os Orçamentos Anuais. </w:t>
      </w: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t>Neste sentido, por meio do projeto de lei</w:t>
      </w:r>
      <w:r>
        <w:rPr>
          <w:sz w:val="24"/>
          <w:szCs w:val="24"/>
        </w:rPr>
        <w:t xml:space="preserve"> complementar</w:t>
      </w:r>
      <w:r w:rsidRPr="008071C9">
        <w:rPr>
          <w:sz w:val="24"/>
          <w:szCs w:val="24"/>
        </w:rPr>
        <w:t xml:space="preserve"> em análise o Executivo Municipal propõe, com autorização constitucional e infraconstitucional, os instrumentos de planejamento orçamentário (LDO) para o exercício financeiro subsequente, definindo os valores dos custos totais estimados de programas e ações governamentais de acordo com os estudos e estimativas das receitas projetadas par</w:t>
      </w:r>
      <w:r w:rsidR="006E23F6">
        <w:rPr>
          <w:sz w:val="24"/>
          <w:szCs w:val="24"/>
        </w:rPr>
        <w:t>a o exercício financeiro de 20</w:t>
      </w:r>
      <w:r w:rsidR="009E7FA5">
        <w:rPr>
          <w:sz w:val="24"/>
          <w:szCs w:val="24"/>
        </w:rPr>
        <w:t>2</w:t>
      </w:r>
      <w:r w:rsidR="001D7A1B">
        <w:rPr>
          <w:sz w:val="24"/>
          <w:szCs w:val="24"/>
        </w:rPr>
        <w:t>4</w:t>
      </w:r>
      <w:r w:rsidRPr="008071C9">
        <w:rPr>
          <w:sz w:val="24"/>
          <w:szCs w:val="24"/>
        </w:rPr>
        <w:t>.</w:t>
      </w: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lastRenderedPageBreak/>
        <w:t xml:space="preserve">Portanto, é certo que cabe ao Prefeito determinar os respectivos </w:t>
      </w:r>
      <w:proofErr w:type="spellStart"/>
      <w:r w:rsidRPr="008071C9">
        <w:rPr>
          <w:sz w:val="24"/>
          <w:szCs w:val="24"/>
        </w:rPr>
        <w:t>conteúdos</w:t>
      </w:r>
      <w:proofErr w:type="spellEnd"/>
      <w:r w:rsidRPr="008071C9">
        <w:rPr>
          <w:sz w:val="24"/>
          <w:szCs w:val="24"/>
        </w:rPr>
        <w:t xml:space="preserve"> da Lei de Diretriz</w:t>
      </w:r>
      <w:r w:rsidR="00157AA5">
        <w:rPr>
          <w:sz w:val="24"/>
          <w:szCs w:val="24"/>
        </w:rPr>
        <w:t xml:space="preserve">es Orçamentárias, visto que ele sim, foi eleito </w:t>
      </w:r>
      <w:r w:rsidRPr="008071C9">
        <w:rPr>
          <w:sz w:val="24"/>
          <w:szCs w:val="24"/>
        </w:rPr>
        <w:t>pelos munícipes, com determinadas propostas que esses consideraram as mais adequadas, convenientes e oportunas às necessidades e realidades locais.</w:t>
      </w:r>
    </w:p>
    <w:p w:rsidR="00227611" w:rsidRPr="00F7312F" w:rsidRDefault="00227611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227611">
        <w:rPr>
          <w:sz w:val="24"/>
          <w:szCs w:val="24"/>
        </w:rPr>
        <w:t>Por oportuno, frisa-se que para delimitar um campo de ação necessariamente máximo ao agente público, para estabelecer parâmetros socialmente exigíveis na sua gestão dos negócios públicos, para cercear excessos</w:t>
      </w:r>
      <w:r>
        <w:rPr>
          <w:sz w:val="24"/>
          <w:szCs w:val="24"/>
        </w:rPr>
        <w:t xml:space="preserve"> e</w:t>
      </w:r>
      <w:r w:rsidRPr="00227611">
        <w:rPr>
          <w:sz w:val="24"/>
          <w:szCs w:val="24"/>
        </w:rPr>
        <w:t xml:space="preserve"> coibir abusos e desmandos, faz-se necessário que o Poder Legislativo passe a apreciar tais me</w:t>
      </w:r>
      <w:r>
        <w:rPr>
          <w:sz w:val="24"/>
          <w:szCs w:val="24"/>
        </w:rPr>
        <w:t>tas</w:t>
      </w:r>
      <w:r w:rsidRPr="00227611">
        <w:rPr>
          <w:sz w:val="24"/>
          <w:szCs w:val="24"/>
        </w:rPr>
        <w:t xml:space="preserve"> impondo, inclusive, a forma como a realidade social municipal deve ser estudada e consequentemente enfrentada, em típica tentativa de administrar os interesses públicos reservados à Administração Pública</w:t>
      </w:r>
      <w:r w:rsidR="006E23F6">
        <w:rPr>
          <w:sz w:val="24"/>
          <w:szCs w:val="24"/>
        </w:rPr>
        <w:t>,</w:t>
      </w:r>
      <w:r w:rsidR="00F75FA1">
        <w:rPr>
          <w:sz w:val="24"/>
          <w:szCs w:val="24"/>
        </w:rPr>
        <w:t xml:space="preserve"> comandada</w:t>
      </w:r>
      <w:r w:rsidRPr="00227611">
        <w:rPr>
          <w:sz w:val="24"/>
          <w:szCs w:val="24"/>
        </w:rPr>
        <w:t xml:space="preserve"> pelo Chefe do Poder Executivo local.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Lei de Diretrizes Orçamentárias, LDO, segundo o artigo 165, § 2º da Carta da República, compreenderá as metas e prioridades da administração pública, incluindo as despesas de capital para o exercício financeiro subsequente, orientará a </w:t>
      </w:r>
      <w:r w:rsidR="00157AA5">
        <w:rPr>
          <w:sz w:val="24"/>
          <w:szCs w:val="24"/>
        </w:rPr>
        <w:t>elaboração da Lei Orçamentária A</w:t>
      </w:r>
      <w:r w:rsidRPr="00F7312F">
        <w:rPr>
          <w:sz w:val="24"/>
          <w:szCs w:val="24"/>
        </w:rPr>
        <w:t>nual, disporá sobre as alterações na legislação tributária e estabelecerá a política de aplicação das agências financeiras oficiais de fomento.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Especificamente no tocante à LDO, prevê o § 2º do artigo 111 da Lei Orgânica do Município de Botucatu: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6E23F6" w:rsidRDefault="00B2650B" w:rsidP="00AA59DA">
      <w:pPr>
        <w:spacing w:line="360" w:lineRule="auto"/>
        <w:jc w:val="both"/>
        <w:rPr>
          <w:sz w:val="24"/>
          <w:szCs w:val="24"/>
        </w:rPr>
      </w:pPr>
      <w:r w:rsidRPr="006E23F6">
        <w:rPr>
          <w:sz w:val="24"/>
          <w:szCs w:val="24"/>
        </w:rPr>
        <w:t>Art. 111 -  (...)</w:t>
      </w:r>
    </w:p>
    <w:p w:rsidR="00B2650B" w:rsidRPr="006E23F6" w:rsidRDefault="00B2650B" w:rsidP="00AA59DA">
      <w:pPr>
        <w:tabs>
          <w:tab w:val="left" w:pos="2824"/>
        </w:tabs>
        <w:spacing w:line="360" w:lineRule="auto"/>
        <w:jc w:val="both"/>
        <w:rPr>
          <w:i/>
          <w:sz w:val="24"/>
          <w:szCs w:val="24"/>
        </w:rPr>
      </w:pPr>
      <w:r w:rsidRPr="006E23F6">
        <w:rPr>
          <w:sz w:val="24"/>
          <w:szCs w:val="24"/>
        </w:rPr>
        <w:t xml:space="preserve">§2º </w:t>
      </w:r>
      <w:r w:rsidRPr="006E23F6">
        <w:rPr>
          <w:i/>
          <w:sz w:val="24"/>
          <w:szCs w:val="24"/>
        </w:rPr>
        <w:t>A Lei de Diretrizes Orçamentárias compreenderá as metas e prioridades da administração pública para as despesas de capital para o exercício financeiro subsequente, orientará a elaboração da Lei Orçamentária Anual e disporá sobre alterações na legislação tributária.</w:t>
      </w:r>
    </w:p>
    <w:p w:rsidR="00B2650B" w:rsidRPr="006E23F6" w:rsidRDefault="00B2650B" w:rsidP="00B2650B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6E23F6">
        <w:rPr>
          <w:sz w:val="24"/>
          <w:szCs w:val="24"/>
        </w:rPr>
        <w:t>Compulsando o Projeto de Lei Complementar</w:t>
      </w:r>
      <w:r w:rsidRPr="00F7312F">
        <w:rPr>
          <w:sz w:val="24"/>
          <w:szCs w:val="24"/>
        </w:rPr>
        <w:t xml:space="preserve"> em análise, verifica-se que o mesmo contempla as exigências previstas na Carta da República que foram reproduzidas na Lei Orgânica do Município.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Com efeito, trata-se de Projeto de Lei Complementar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encaminhado pelo chefe do Poder Executivo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que </w:t>
      </w:r>
      <w:r w:rsidR="00AA59DA">
        <w:rPr>
          <w:sz w:val="24"/>
          <w:szCs w:val="24"/>
        </w:rPr>
        <w:t>em seu texto e anexos</w:t>
      </w:r>
      <w:r w:rsidRPr="00F7312F">
        <w:rPr>
          <w:sz w:val="24"/>
          <w:szCs w:val="24"/>
        </w:rPr>
        <w:t xml:space="preserve"> contempla os requisitos insculpidos nos artigos 165, § 2º da Constituição Federal e 111, § 2º da Lei Orgânica do Município de Botucatu. </w:t>
      </w:r>
    </w:p>
    <w:p w:rsidR="00B2650B" w:rsidRPr="00F7312F" w:rsidRDefault="00B2650B" w:rsidP="00B2650B">
      <w:pPr>
        <w:spacing w:line="360" w:lineRule="auto"/>
        <w:ind w:right="19" w:firstLine="2861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lastRenderedPageBreak/>
        <w:t xml:space="preserve">Além desses requisitos, nos termos do art. 4º da Lei de Responsabilidade Fiscal (Lei </w:t>
      </w:r>
      <w:r w:rsidR="00AA59DA">
        <w:rPr>
          <w:sz w:val="24"/>
          <w:szCs w:val="24"/>
          <w:lang w:val="pt-PT"/>
        </w:rPr>
        <w:t>Complementar nº 101/2</w:t>
      </w:r>
      <w:r w:rsidRPr="00F7312F">
        <w:rPr>
          <w:sz w:val="24"/>
          <w:szCs w:val="24"/>
          <w:lang w:val="pt-PT"/>
        </w:rPr>
        <w:t>000), a Lei de Diretrizes Orçamentárias deve conter:</w:t>
      </w:r>
    </w:p>
    <w:p w:rsidR="00B2650B" w:rsidRPr="00F7312F" w:rsidRDefault="00B2650B" w:rsidP="00B2650B">
      <w:pPr>
        <w:spacing w:line="360" w:lineRule="auto"/>
        <w:ind w:right="476" w:firstLine="1560"/>
        <w:jc w:val="both"/>
        <w:rPr>
          <w:sz w:val="24"/>
          <w:szCs w:val="24"/>
        </w:rPr>
      </w:pP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a) o equilíbrio entre receitas e despesas;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b) os critérios e forma de limitação a ser efetivada nas hipóteses previstas no art. 9º e no inciso II do § 1º do art. 31;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c) (</w:t>
      </w:r>
      <w:proofErr w:type="gramStart"/>
      <w:r w:rsidRPr="00F7312F">
        <w:rPr>
          <w:i/>
          <w:sz w:val="24"/>
          <w:szCs w:val="24"/>
        </w:rPr>
        <w:t xml:space="preserve">Vetado)   </w:t>
      </w:r>
      <w:proofErr w:type="gramEnd"/>
      <w:r w:rsidRPr="00F7312F">
        <w:rPr>
          <w:i/>
          <w:sz w:val="24"/>
          <w:szCs w:val="24"/>
        </w:rPr>
        <w:t>d) (Vetado)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e) normas relativas ao controle de custos e à avaliação dos resultados dos programas financiados com recursos dos orçamentos;</w:t>
      </w:r>
    </w:p>
    <w:p w:rsidR="00B2650B" w:rsidRPr="00F7312F" w:rsidRDefault="00AA59DA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="00B2650B" w:rsidRPr="00F7312F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B2650B" w:rsidRPr="00F7312F">
        <w:rPr>
          <w:i/>
          <w:sz w:val="24"/>
          <w:szCs w:val="24"/>
        </w:rPr>
        <w:t>demais condições e exigências para transferências de recursos a entidades públicas e privadas;</w:t>
      </w:r>
    </w:p>
    <w:p w:rsidR="00B2650B" w:rsidRPr="00F7312F" w:rsidRDefault="00B2650B" w:rsidP="00B2650B">
      <w:pPr>
        <w:tabs>
          <w:tab w:val="left" w:pos="0"/>
        </w:tabs>
        <w:spacing w:line="360" w:lineRule="auto"/>
        <w:ind w:firstLine="2880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E, ainda, nos termos do disposto nos parágrafos 1º, 2º e 3º do artigo 4º da Lei de Responsabilidade Fiscal: </w:t>
      </w:r>
    </w:p>
    <w:p w:rsidR="00B2650B" w:rsidRPr="00F7312F" w:rsidRDefault="00B2650B" w:rsidP="00B2650B">
      <w:pPr>
        <w:tabs>
          <w:tab w:val="left" w:pos="1920"/>
        </w:tabs>
        <w:spacing w:line="360" w:lineRule="auto"/>
        <w:ind w:left="1920" w:right="476" w:hanging="360"/>
        <w:jc w:val="both"/>
        <w:rPr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1º Integrará o projeto de lei de diretrizes orçamentárias Anexo de Metas Fiscais, em que serão estabelecidas metas anuais, em valores correntes e constantes, relativas a receitas, despesas, resultados nominal e primário e montante da dívida pública, para o exercício a que se referirem e para os dois seguintes.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2º O Anexo conterá ainda: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do cumprimento das metas relativas ao ano anterior;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II – </w:t>
      </w:r>
      <w:proofErr w:type="gramStart"/>
      <w:r w:rsidRPr="00F7312F">
        <w:rPr>
          <w:i/>
          <w:sz w:val="24"/>
          <w:szCs w:val="24"/>
        </w:rPr>
        <w:t>demonstrativo</w:t>
      </w:r>
      <w:proofErr w:type="gramEnd"/>
      <w:r w:rsidRPr="00F7312F">
        <w:rPr>
          <w:i/>
          <w:sz w:val="24"/>
          <w:szCs w:val="24"/>
        </w:rPr>
        <w:t xml:space="preserve"> das metas anuais, instruído com memória e metodologia de cálculo que justifiquem os resultados pretendidos, comparando-as com as fixadas nos três exercícios anteriores, e evidenciando a consistência delas com as premissas e os objetivos da política econômica nacional;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III – evolução do patrimônio líquido, também nos últimos três exercícios, destacando a origem e a aplicação dos recursos obtidos com a alienação de ativos;</w:t>
      </w: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IV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da situação financeira e atuarial: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a</w:t>
      </w:r>
      <w:proofErr w:type="gramEnd"/>
      <w:r w:rsidRPr="00F7312F">
        <w:rPr>
          <w:i/>
          <w:sz w:val="24"/>
          <w:szCs w:val="24"/>
        </w:rPr>
        <w:t>-) dos regimes geral de previdência social e próprio dos servidores públicos e do Fundo de Amparo ao Trabalhador;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b</w:t>
      </w:r>
      <w:proofErr w:type="gramEnd"/>
      <w:r w:rsidRPr="00F7312F">
        <w:rPr>
          <w:i/>
          <w:sz w:val="24"/>
          <w:szCs w:val="24"/>
        </w:rPr>
        <w:t>-) dos demais fundos públicos e programas estatais de natureza atuarial;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lastRenderedPageBreak/>
        <w:t>c</w:t>
      </w:r>
      <w:proofErr w:type="gramEnd"/>
      <w:r w:rsidRPr="00F7312F">
        <w:rPr>
          <w:i/>
          <w:sz w:val="24"/>
          <w:szCs w:val="24"/>
        </w:rPr>
        <w:t>-) demonstrativo da estimativa e compensação da renúncia de receita e da margem de expansão das despesas obrigatórias de caráter continuado;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§ 3º A lei de diretrizes orçamentárias conterá Anexo de Riscos Fiscais, onde serão avaliados os passivos contingentes e outros riscos capazes de afetar as contas públicas, informando as providências a serem tomadas, caso se </w:t>
      </w:r>
      <w:proofErr w:type="gramStart"/>
      <w:r w:rsidRPr="00F7312F">
        <w:rPr>
          <w:i/>
          <w:sz w:val="24"/>
          <w:szCs w:val="24"/>
        </w:rPr>
        <w:t>concretizem.”</w:t>
      </w:r>
      <w:proofErr w:type="gramEnd"/>
    </w:p>
    <w:p w:rsidR="00B2650B" w:rsidRPr="00F7312F" w:rsidRDefault="00B2650B" w:rsidP="00B2650B">
      <w:pPr>
        <w:spacing w:line="360" w:lineRule="auto"/>
        <w:ind w:left="1560" w:right="476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que </w:t>
      </w:r>
      <w:proofErr w:type="spellStart"/>
      <w:r w:rsidRPr="00F7312F">
        <w:rPr>
          <w:sz w:val="24"/>
          <w:szCs w:val="24"/>
        </w:rPr>
        <w:t>pertine</w:t>
      </w:r>
      <w:proofErr w:type="spellEnd"/>
      <w:r w:rsidRPr="00F7312F">
        <w:rPr>
          <w:sz w:val="24"/>
          <w:szCs w:val="24"/>
        </w:rPr>
        <w:t xml:space="preserve"> aos requisitos previstos na Lei de Responsabilidade Fiscal, verifica-se </w:t>
      </w:r>
      <w:r w:rsidR="003734EB">
        <w:rPr>
          <w:sz w:val="24"/>
          <w:szCs w:val="24"/>
        </w:rPr>
        <w:t>sua aparente contemplação</w:t>
      </w:r>
      <w:r w:rsidRPr="00F7312F">
        <w:rPr>
          <w:sz w:val="24"/>
          <w:szCs w:val="24"/>
        </w:rPr>
        <w:t xml:space="preserve">, conforme </w:t>
      </w:r>
      <w:r w:rsidR="003734EB">
        <w:rPr>
          <w:sz w:val="24"/>
          <w:szCs w:val="24"/>
        </w:rPr>
        <w:t xml:space="preserve">mencionado no rol </w:t>
      </w:r>
      <w:r w:rsidRPr="00F7312F">
        <w:rPr>
          <w:sz w:val="24"/>
          <w:szCs w:val="24"/>
        </w:rPr>
        <w:t>do</w:t>
      </w:r>
      <w:r w:rsidR="0050388A">
        <w:rPr>
          <w:sz w:val="24"/>
          <w:szCs w:val="24"/>
        </w:rPr>
        <w:t xml:space="preserve"> </w:t>
      </w:r>
      <w:r w:rsidR="0050388A" w:rsidRPr="0050388A">
        <w:rPr>
          <w:i/>
          <w:sz w:val="24"/>
          <w:szCs w:val="24"/>
        </w:rPr>
        <w:t>caput</w:t>
      </w:r>
      <w:r w:rsidR="0050388A">
        <w:rPr>
          <w:sz w:val="24"/>
          <w:szCs w:val="24"/>
        </w:rPr>
        <w:t xml:space="preserve"> e </w:t>
      </w:r>
      <w:r w:rsidRPr="00F7312F">
        <w:rPr>
          <w:sz w:val="24"/>
          <w:szCs w:val="24"/>
        </w:rPr>
        <w:t>parágrafo único do artigo 1º do Projeto de Lei Complementar em análise.</w:t>
      </w:r>
    </w:p>
    <w:p w:rsidR="0064720D" w:rsidRPr="00F7312F" w:rsidRDefault="0064720D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Conforme dispõe o parágrafo 5º do artigo 235 do Regimento Interno, “</w:t>
      </w:r>
      <w:r w:rsidRPr="0064720D">
        <w:rPr>
          <w:i/>
          <w:sz w:val="24"/>
          <w:szCs w:val="24"/>
        </w:rPr>
        <w:t xml:space="preserve">as Mensagens e as Emendas ao Projeto de Lei de Diretrizes Orçamentárias não poderão ser recebidas quando incompatíveis com o Plano </w:t>
      </w:r>
      <w:proofErr w:type="gramStart"/>
      <w:r w:rsidRPr="0064720D">
        <w:rPr>
          <w:i/>
          <w:sz w:val="24"/>
          <w:szCs w:val="24"/>
        </w:rPr>
        <w:t>Plurianual.”</w:t>
      </w:r>
      <w:proofErr w:type="gramEnd"/>
    </w:p>
    <w:p w:rsidR="00A37732" w:rsidRPr="00A37732" w:rsidRDefault="00BD50E2" w:rsidP="00A37732">
      <w:pPr>
        <w:spacing w:line="360" w:lineRule="auto"/>
        <w:ind w:firstLine="2833"/>
        <w:jc w:val="both"/>
        <w:rPr>
          <w:i/>
          <w:sz w:val="24"/>
          <w:szCs w:val="24"/>
        </w:rPr>
      </w:pPr>
      <w:r>
        <w:rPr>
          <w:sz w:val="24"/>
          <w:szCs w:val="24"/>
        </w:rPr>
        <w:t>Na mensagem o chefe do E</w:t>
      </w:r>
      <w:r w:rsidR="00B2650B" w:rsidRPr="00F7312F">
        <w:rPr>
          <w:sz w:val="24"/>
          <w:szCs w:val="24"/>
        </w:rPr>
        <w:t>xecutivo, em resumo, expõe e justifica a política e</w:t>
      </w:r>
      <w:r w:rsidR="005431D6">
        <w:rPr>
          <w:sz w:val="24"/>
          <w:szCs w:val="24"/>
        </w:rPr>
        <w:t xml:space="preserve">conômico-financeira do Governo: </w:t>
      </w:r>
      <w:r w:rsidR="007D2175">
        <w:rPr>
          <w:i/>
          <w:sz w:val="24"/>
          <w:szCs w:val="24"/>
        </w:rPr>
        <w:t>“</w:t>
      </w:r>
      <w:r w:rsidR="00A37732" w:rsidRPr="00A37732">
        <w:rPr>
          <w:i/>
          <w:sz w:val="24"/>
          <w:szCs w:val="24"/>
        </w:rPr>
        <w:t xml:space="preserve">As metas fiscais para o exercício de 2024 foram estabelecidas de forma conservadora, tomando como base o valor efetivamente arrecadado no exercício de 2022, considerando-se também as informações históricas e presentes de arrecadação no município, corrigidas pelas projeções econômicas divulgadas através do Boletim Focus – Banco Central do Brasil.  </w:t>
      </w:r>
    </w:p>
    <w:p w:rsidR="00A37732" w:rsidRPr="00A37732" w:rsidRDefault="00A37732" w:rsidP="00A37732">
      <w:pPr>
        <w:spacing w:line="360" w:lineRule="auto"/>
        <w:jc w:val="both"/>
        <w:rPr>
          <w:i/>
          <w:sz w:val="24"/>
          <w:szCs w:val="24"/>
        </w:rPr>
      </w:pPr>
      <w:r w:rsidRPr="00A37732">
        <w:rPr>
          <w:i/>
          <w:sz w:val="24"/>
          <w:szCs w:val="24"/>
        </w:rPr>
        <w:t>É importante reafirmar, neste momento, a dificuldade que a Administração Pública se depara para estabelecer o conjunto de metas e prioridades no âmbito do Governo Municipal em face do elevado volume de vinculações constitucionais e legais existentes e da incerteza na retomada da economia.</w:t>
      </w:r>
    </w:p>
    <w:p w:rsidR="00A37732" w:rsidRPr="00A37732" w:rsidRDefault="00A37732" w:rsidP="00A37732">
      <w:pPr>
        <w:spacing w:line="360" w:lineRule="auto"/>
        <w:jc w:val="both"/>
        <w:rPr>
          <w:i/>
          <w:sz w:val="24"/>
          <w:szCs w:val="24"/>
        </w:rPr>
      </w:pPr>
      <w:r w:rsidRPr="00A37732">
        <w:rPr>
          <w:i/>
          <w:sz w:val="24"/>
          <w:szCs w:val="24"/>
        </w:rPr>
        <w:t xml:space="preserve">Para ter a real dimensão da rigidez na aplicação dos recursos, com a qual o Governo Municipal se defronta quando da elaboração do Projeto de Lei Orçamentária, vale mencionar que mais de 50% do total das receitas do Município já têm destinação prévia na sua alocação. Não é demais acrescentar que, além da vinculação à determinados órgãos, os recursos ainda podem ter uma </w:t>
      </w:r>
      <w:proofErr w:type="spellStart"/>
      <w:r w:rsidRPr="00A37732">
        <w:rPr>
          <w:i/>
          <w:sz w:val="24"/>
          <w:szCs w:val="24"/>
        </w:rPr>
        <w:t>subvinculação</w:t>
      </w:r>
      <w:proofErr w:type="spellEnd"/>
      <w:r w:rsidRPr="00A37732">
        <w:rPr>
          <w:i/>
          <w:sz w:val="24"/>
          <w:szCs w:val="24"/>
        </w:rPr>
        <w:t xml:space="preserve"> em despesas específicas.</w:t>
      </w:r>
    </w:p>
    <w:p w:rsidR="00A37732" w:rsidRDefault="00A37732" w:rsidP="00A37732">
      <w:pPr>
        <w:spacing w:line="360" w:lineRule="auto"/>
        <w:jc w:val="both"/>
        <w:rPr>
          <w:i/>
          <w:sz w:val="24"/>
          <w:szCs w:val="24"/>
        </w:rPr>
      </w:pPr>
      <w:r w:rsidRPr="00A37732">
        <w:rPr>
          <w:i/>
          <w:sz w:val="24"/>
          <w:szCs w:val="24"/>
        </w:rPr>
        <w:t>Além desse verdadeiro mecanismo de proteção de algumas áreas com receitas vinculadas, houve a necessidade de acréscimos e inclusão de novas despesas à conta dos recursos livres existentes no orçamento do Governo Municipal. Nesse cenário, o atendimento da demanda social com a finalidade de adicionar novas metas e prioridades à LDO, pressupõe, por um lado, a mudança na alocação dos recursos provenientes de vinculações e despesas obrigatórias e, por outro, a decisão de elevar a carga tributária por meio de aumentos de alíquotas ou base de cálculo de impostos e contribuições. As escolhas dependem de decisão política acerca da melhor maneira de maximizar o bem-estar social com a utilização de tais recursos.</w:t>
      </w:r>
    </w:p>
    <w:p w:rsidR="00A37732" w:rsidRDefault="00A37732" w:rsidP="00A37732">
      <w:pPr>
        <w:spacing w:line="360" w:lineRule="auto"/>
        <w:jc w:val="both"/>
        <w:rPr>
          <w:i/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t xml:space="preserve">Portanto,  analisando o Projeto de Lei Complementar, constata-se que, em linhas gerais, os requisitos previstos para </w:t>
      </w:r>
      <w:r w:rsidR="00227611">
        <w:rPr>
          <w:sz w:val="24"/>
          <w:szCs w:val="24"/>
          <w:lang w:val="pt-PT"/>
        </w:rPr>
        <w:t>elaboração da LDO foram atendido</w:t>
      </w:r>
      <w:r w:rsidRPr="00F7312F">
        <w:rPr>
          <w:sz w:val="24"/>
          <w:szCs w:val="24"/>
          <w:lang w:val="pt-PT"/>
        </w:rPr>
        <w:t>s.</w:t>
      </w:r>
    </w:p>
    <w:p w:rsidR="00157AA5" w:rsidRPr="00D15A47" w:rsidRDefault="00D15A47" w:rsidP="00677E77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Mais especificamente quanto à</w:t>
      </w:r>
      <w:r w:rsidR="00157AA5" w:rsidRPr="00D15A47">
        <w:rPr>
          <w:sz w:val="24"/>
          <w:szCs w:val="24"/>
        </w:rPr>
        <w:t>s emendas em projetos de lei</w:t>
      </w:r>
      <w:r w:rsidRPr="00D15A47">
        <w:rPr>
          <w:sz w:val="24"/>
          <w:szCs w:val="24"/>
        </w:rPr>
        <w:t>s</w:t>
      </w:r>
      <w:r w:rsidR="00157AA5" w:rsidRPr="00D15A47">
        <w:rPr>
          <w:sz w:val="24"/>
          <w:szCs w:val="24"/>
        </w:rPr>
        <w:t xml:space="preserve"> </w:t>
      </w:r>
      <w:r w:rsidRPr="00D15A47">
        <w:rPr>
          <w:sz w:val="24"/>
          <w:szCs w:val="24"/>
        </w:rPr>
        <w:t>orçamentárias, deve ser observado o seguinte:</w:t>
      </w:r>
    </w:p>
    <w:p w:rsidR="00157AA5" w:rsidRPr="00677E77" w:rsidRDefault="00157AA5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Em seguida à publicação, </w:t>
      </w:r>
      <w:r w:rsidRPr="00157AA5">
        <w:rPr>
          <w:i/>
          <w:sz w:val="24"/>
          <w:szCs w:val="24"/>
          <w:u w:val="single"/>
        </w:rPr>
        <w:t>os projetos serão remetidos à Comissão de Orçamento, Finanças e Contabilidade, para recebimento de emendas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2º A Comissão de Orçamento, Finanças e Contabilidade receberá as emendas apresentadas pelos Vereadores no prazo de 30</w:t>
      </w:r>
      <w:r w:rsidR="00F64A80">
        <w:rPr>
          <w:i/>
          <w:sz w:val="24"/>
          <w:szCs w:val="24"/>
        </w:rPr>
        <w:t xml:space="preserve"> </w:t>
      </w:r>
      <w:r w:rsidRPr="00677E77">
        <w:rPr>
          <w:i/>
          <w:sz w:val="24"/>
          <w:szCs w:val="24"/>
        </w:rPr>
        <w:t>(trinta) dias, contados da publicação.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A Comissão de Orçamento, Finanças e Contabilidade terá mais 10 (dez) dias de prazo para emitir os pareceres sobre os projetos a que se refere o artigo 234 deste Regimento, e a sua decisão sobre as emendas apresentadas.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4º </w:t>
      </w:r>
      <w:r w:rsidRPr="00157AA5">
        <w:rPr>
          <w:i/>
          <w:sz w:val="24"/>
          <w:szCs w:val="24"/>
          <w:u w:val="single"/>
        </w:rPr>
        <w:t>As mensagens e as emendas ao projeto de lei do orçamento anual ou os projetos que o modifiquem somente poderão ser admitidas desde que</w:t>
      </w:r>
      <w:r w:rsidRPr="00677E77">
        <w:rPr>
          <w:i/>
          <w:sz w:val="24"/>
          <w:szCs w:val="24"/>
        </w:rPr>
        <w:t>: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677E77">
        <w:rPr>
          <w:i/>
          <w:sz w:val="24"/>
          <w:szCs w:val="24"/>
        </w:rPr>
        <w:t xml:space="preserve">I - </w:t>
      </w:r>
      <w:proofErr w:type="gramStart"/>
      <w:r w:rsidRPr="00157AA5">
        <w:rPr>
          <w:i/>
          <w:sz w:val="24"/>
          <w:szCs w:val="24"/>
          <w:u w:val="single"/>
        </w:rPr>
        <w:t>compatíveis</w:t>
      </w:r>
      <w:proofErr w:type="gramEnd"/>
      <w:r w:rsidRPr="00157AA5">
        <w:rPr>
          <w:i/>
          <w:sz w:val="24"/>
          <w:szCs w:val="24"/>
          <w:u w:val="single"/>
        </w:rPr>
        <w:t xml:space="preserve"> com o Plano Plurianual e com a Lei de Diretrizes Orçamentárias;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 xml:space="preserve">II - </w:t>
      </w:r>
      <w:proofErr w:type="gramStart"/>
      <w:r w:rsidRPr="00157AA5">
        <w:rPr>
          <w:i/>
          <w:sz w:val="24"/>
          <w:szCs w:val="24"/>
          <w:u w:val="single"/>
        </w:rPr>
        <w:t>indicarem</w:t>
      </w:r>
      <w:proofErr w:type="gramEnd"/>
      <w:r w:rsidRPr="00157AA5">
        <w:rPr>
          <w:i/>
          <w:sz w:val="24"/>
          <w:szCs w:val="24"/>
          <w:u w:val="single"/>
        </w:rPr>
        <w:t xml:space="preserve"> os recursos necessários, admitidos apenas os provenientes de anulação das despesas, excluídas as que incidam sobre: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a) dotação para pessoal e seus encargos;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b) serviços da dívida;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c) compromissos com convênios.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III - relacionadas com: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b/>
          <w:i/>
          <w:sz w:val="24"/>
          <w:szCs w:val="24"/>
          <w:u w:val="single"/>
        </w:rPr>
        <w:t>a) correção de erros ou omissões</w:t>
      </w:r>
      <w:r w:rsidRPr="00157AA5">
        <w:rPr>
          <w:i/>
          <w:sz w:val="24"/>
          <w:szCs w:val="24"/>
          <w:u w:val="single"/>
        </w:rPr>
        <w:t>;</w:t>
      </w:r>
    </w:p>
    <w:p w:rsidR="00677E77" w:rsidRPr="00157AA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  <w:u w:val="single"/>
        </w:rPr>
      </w:pPr>
      <w:r w:rsidRPr="00157AA5">
        <w:rPr>
          <w:i/>
          <w:sz w:val="24"/>
          <w:szCs w:val="24"/>
          <w:u w:val="single"/>
        </w:rPr>
        <w:t>b) os dispositivos do texto do projeto de lei.</w:t>
      </w:r>
    </w:p>
    <w:p w:rsidR="00677E77" w:rsidRPr="007D2175" w:rsidRDefault="00677E77" w:rsidP="00677E77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7D2175">
        <w:rPr>
          <w:b/>
          <w:i/>
          <w:sz w:val="24"/>
          <w:szCs w:val="24"/>
        </w:rPr>
        <w:t>§ 5º As mensagens e as emendas ao projeto de Lei de Diretrizes Orçamentárias não poderão ser recebidas quando incompatíveis com o Plano Plurianual.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Art. 237 </w:t>
      </w:r>
      <w:r w:rsidRPr="00157AA5">
        <w:rPr>
          <w:i/>
          <w:sz w:val="24"/>
          <w:szCs w:val="24"/>
          <w:u w:val="single"/>
        </w:rPr>
        <w:t>A decisão da Comissão de Orçamento, Finanças e Contabilidade sobre as emendas será definitiva, salvo se 1/3 (um terço) dos membros da Câmara requerer ao Presidente a votação em Plenário, sem discussão, de emenda aprovada ou rejeitada pela própria Comissão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</w:t>
      </w:r>
      <w:r w:rsidRPr="00157AA5">
        <w:rPr>
          <w:i/>
          <w:sz w:val="24"/>
          <w:szCs w:val="24"/>
          <w:u w:val="single"/>
        </w:rPr>
        <w:t>Se não houve emendas, o projeto será incluído na Ordem do Dia da primeira Sessão, sendo vedada a apresentação de emendas em Plenário.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2º </w:t>
      </w:r>
      <w:r w:rsidRPr="00157AA5">
        <w:rPr>
          <w:i/>
          <w:sz w:val="24"/>
          <w:szCs w:val="24"/>
          <w:u w:val="single"/>
        </w:rPr>
        <w:t>Havendo emendas anteriores, o projeto será incluído na Ordem do Dia da primeira Sessão após a publicação do parecer e das emendas</w:t>
      </w:r>
      <w:r w:rsidRPr="00677E77">
        <w:rPr>
          <w:i/>
          <w:sz w:val="24"/>
          <w:szCs w:val="24"/>
        </w:rPr>
        <w:t>.</w:t>
      </w:r>
    </w:p>
    <w:p w:rsidR="00677E77" w:rsidRPr="007849B4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III - </w:t>
      </w:r>
      <w:proofErr w:type="gramStart"/>
      <w:r w:rsidRPr="00F7312F">
        <w:rPr>
          <w:b/>
          <w:sz w:val="24"/>
          <w:szCs w:val="24"/>
          <w:u w:val="single"/>
        </w:rPr>
        <w:t>TRAMITAÇÃO  E</w:t>
      </w:r>
      <w:proofErr w:type="gramEnd"/>
      <w:r w:rsidRPr="00F7312F">
        <w:rPr>
          <w:b/>
          <w:sz w:val="24"/>
          <w:szCs w:val="24"/>
          <w:u w:val="single"/>
        </w:rPr>
        <w:t xml:space="preserve"> QUORUM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O Projeto trata de matéria relacionada ao processo legislativo orçamentário, sendo certo que a tramitação se dá de acordo com o disposto no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artigo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235</w:t>
      </w:r>
      <w:r w:rsidR="00BD50E2">
        <w:rPr>
          <w:sz w:val="24"/>
          <w:szCs w:val="24"/>
        </w:rPr>
        <w:t xml:space="preserve"> e seguintes</w:t>
      </w:r>
      <w:r w:rsidRPr="00F7312F">
        <w:rPr>
          <w:sz w:val="24"/>
          <w:szCs w:val="24"/>
        </w:rPr>
        <w:t xml:space="preserve"> do Regimento Interno da Câmara</w:t>
      </w:r>
      <w:r w:rsidR="00F57391">
        <w:rPr>
          <w:sz w:val="24"/>
          <w:szCs w:val="24"/>
        </w:rPr>
        <w:t xml:space="preserve"> (RI)</w:t>
      </w:r>
      <w:r w:rsidRPr="00F7312F">
        <w:rPr>
          <w:sz w:val="24"/>
          <w:szCs w:val="24"/>
        </w:rPr>
        <w:t>.</w:t>
      </w:r>
    </w:p>
    <w:p w:rsidR="007C1774" w:rsidRDefault="007C1774" w:rsidP="007C1774">
      <w:pPr>
        <w:pStyle w:val="Padro"/>
        <w:spacing w:line="360" w:lineRule="auto"/>
        <w:ind w:firstLine="2833"/>
        <w:jc w:val="both"/>
      </w:pPr>
      <w:r w:rsidRPr="00F7312F">
        <w:t>Cópia completa do Projeto foi posta à disposição dos Vereadores na Secretaria da Câmara, sendo que o Projeto Original foi remetido à Comissão de Orçamento, Finanças e Contabilidade, para o acolhimento de emendas</w:t>
      </w:r>
      <w:r w:rsidRPr="00F57391">
        <w:t xml:space="preserve">, as quais, no caso em análise, </w:t>
      </w:r>
      <w:r w:rsidR="00076D1C">
        <w:t>p</w:t>
      </w:r>
      <w:r w:rsidR="005D3D6F">
        <w:t>uderam</w:t>
      </w:r>
      <w:r w:rsidR="00076D1C">
        <w:t xml:space="preserve"> ser</w:t>
      </w:r>
      <w:r w:rsidRPr="00F57391">
        <w:t xml:space="preserve"> apresentadas pelos senhores</w:t>
      </w:r>
      <w:r w:rsidR="00F57391">
        <w:t xml:space="preserve"> </w:t>
      </w:r>
      <w:r w:rsidR="00C85594">
        <w:t>V</w:t>
      </w:r>
      <w:r w:rsidR="00F57391">
        <w:t xml:space="preserve">ereadores no prazo regimental, </w:t>
      </w:r>
      <w:r w:rsidR="00076D1C">
        <w:t>previsto no artigo 235 do RI: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>
        <w:rPr>
          <w:i/>
        </w:rPr>
        <w:t>“</w:t>
      </w:r>
      <w:r w:rsidRPr="00076D1C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1º Em seguida à publicação, os projetos serão remetidos à Comissão de Orçamento, Finanças e Contabilidade, para recebimento de emendas.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2º A Comissão de Orçamento, Finanças e Contabilidade receberá as emendas apresentadas pelos Vereadores no prazo de 30</w:t>
      </w:r>
      <w:r w:rsidR="00CB5472">
        <w:rPr>
          <w:i/>
        </w:rPr>
        <w:t xml:space="preserve"> </w:t>
      </w:r>
      <w:r w:rsidRPr="00076D1C">
        <w:rPr>
          <w:i/>
        </w:rPr>
        <w:t>(trinta) dias, contados da publicação.</w:t>
      </w:r>
    </w:p>
    <w:p w:rsidR="00076D1C" w:rsidRPr="00F7312F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  <w:r w:rsidRPr="00076D1C">
        <w:rPr>
          <w:i/>
        </w:rPr>
        <w:t xml:space="preserve">§ 3º A Comissão de Orçamento, Finanças e Contabilidade terá mais 10 (dez) dias de prazo para emitir os pareceres sobre os projetos a que se refere o artigo 234 deste Regimento, e a sua decisão sobre as emendas </w:t>
      </w:r>
      <w:proofErr w:type="gramStart"/>
      <w:r w:rsidRPr="00076D1C">
        <w:rPr>
          <w:i/>
        </w:rPr>
        <w:t>apresentadas.</w:t>
      </w:r>
      <w:r>
        <w:rPr>
          <w:i/>
        </w:rPr>
        <w:t>”</w:t>
      </w:r>
      <w:proofErr w:type="gramEnd"/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CB5472" w:rsidRDefault="00B2650B" w:rsidP="00314FF4">
      <w:pPr>
        <w:spacing w:line="360" w:lineRule="auto"/>
        <w:ind w:firstLine="2833"/>
        <w:jc w:val="both"/>
        <w:rPr>
          <w:sz w:val="24"/>
          <w:szCs w:val="24"/>
        </w:rPr>
      </w:pPr>
      <w:r w:rsidRPr="00CB5472">
        <w:rPr>
          <w:sz w:val="24"/>
          <w:szCs w:val="24"/>
        </w:rPr>
        <w:t>Cabe à Câmara apreciar e aprovar o presente Projeto de Lei Complementar até o d</w:t>
      </w:r>
      <w:r w:rsidR="00B81C29" w:rsidRPr="00CB5472">
        <w:rPr>
          <w:sz w:val="24"/>
          <w:szCs w:val="24"/>
        </w:rPr>
        <w:t>ia 30 de setembro próximo</w:t>
      </w:r>
      <w:r w:rsidR="00F57391" w:rsidRPr="00CB5472">
        <w:rPr>
          <w:sz w:val="24"/>
          <w:szCs w:val="24"/>
        </w:rPr>
        <w:t xml:space="preserve">, conforme se desprende do </w:t>
      </w:r>
      <w:r w:rsidR="00CB5472" w:rsidRPr="00CB5472">
        <w:rPr>
          <w:sz w:val="24"/>
          <w:szCs w:val="24"/>
        </w:rPr>
        <w:t xml:space="preserve">artigo 7º, inciso II das Disposições Transitórias da Lei Orgânica do Município de Botucatu, bem como do </w:t>
      </w:r>
      <w:r w:rsidR="00F57391" w:rsidRPr="00CB5472">
        <w:rPr>
          <w:sz w:val="24"/>
          <w:szCs w:val="24"/>
        </w:rPr>
        <w:t>p</w:t>
      </w:r>
      <w:r w:rsidR="003B1E2F" w:rsidRPr="00CB5472">
        <w:rPr>
          <w:sz w:val="24"/>
          <w:szCs w:val="24"/>
        </w:rPr>
        <w:t>arágrafo 5º do artigo 234 do RI (redação alterada pela Resolução 332/2005)</w:t>
      </w:r>
      <w:r w:rsidR="00CC77E1" w:rsidRPr="00CB5472">
        <w:rPr>
          <w:sz w:val="24"/>
          <w:szCs w:val="24"/>
        </w:rPr>
        <w:t>, sob pena de ser automaticamente incluído na Ordem do Dia, sobrestando-se a deliberação quanto aos demais assuntos, para que se ultime a votação (art. 239, RI).</w:t>
      </w:r>
    </w:p>
    <w:p w:rsidR="008618BD" w:rsidRDefault="008618BD" w:rsidP="00314FF4">
      <w:pPr>
        <w:spacing w:line="360" w:lineRule="auto"/>
        <w:ind w:firstLine="2833"/>
        <w:jc w:val="both"/>
        <w:rPr>
          <w:sz w:val="24"/>
          <w:szCs w:val="24"/>
        </w:rPr>
      </w:pPr>
    </w:p>
    <w:p w:rsidR="00314FF4" w:rsidRPr="00CB5472" w:rsidRDefault="0013097E" w:rsidP="00CB5472">
      <w:pPr>
        <w:spacing w:line="360" w:lineRule="auto"/>
        <w:jc w:val="both"/>
        <w:rPr>
          <w:i/>
          <w:sz w:val="24"/>
          <w:szCs w:val="24"/>
        </w:rPr>
      </w:pPr>
      <w:r w:rsidRPr="00CB5472">
        <w:rPr>
          <w:i/>
          <w:sz w:val="24"/>
          <w:szCs w:val="24"/>
        </w:rPr>
        <w:t xml:space="preserve">Disposições Transitórias da </w:t>
      </w:r>
      <w:r w:rsidR="00CB5472">
        <w:rPr>
          <w:i/>
          <w:sz w:val="24"/>
          <w:szCs w:val="24"/>
        </w:rPr>
        <w:t>Lei Orgânica:</w:t>
      </w: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Art. 7º Até a entrada em vigor na lei complementar a que se refere o art. 165, § 9º, incisos I e II, da Constituição Federal, serão obedecidas as seguintes formas:</w:t>
      </w: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 - </w:t>
      </w:r>
      <w:proofErr w:type="gramStart"/>
      <w:r w:rsidRPr="00314FF4">
        <w:rPr>
          <w:i/>
          <w:sz w:val="24"/>
          <w:szCs w:val="24"/>
        </w:rPr>
        <w:t>o</w:t>
      </w:r>
      <w:proofErr w:type="gramEnd"/>
      <w:r w:rsidRPr="00314FF4">
        <w:rPr>
          <w:i/>
          <w:sz w:val="24"/>
          <w:szCs w:val="24"/>
        </w:rPr>
        <w:t xml:space="preserve"> projeto do Plano Plurianual, para vigência até o final do primeiro exercício financeiro do mandato do Prefeito </w:t>
      </w:r>
      <w:proofErr w:type="spellStart"/>
      <w:r w:rsidRPr="00314FF4">
        <w:rPr>
          <w:i/>
          <w:sz w:val="24"/>
          <w:szCs w:val="24"/>
        </w:rPr>
        <w:t>subseqüente</w:t>
      </w:r>
      <w:proofErr w:type="spellEnd"/>
      <w:r w:rsidRPr="00314FF4">
        <w:rPr>
          <w:i/>
          <w:sz w:val="24"/>
          <w:szCs w:val="24"/>
        </w:rPr>
        <w:t>, será encaminhado até 180 (cento e oitenta) dias antes do encerramento do primeiro exercício financeiro e devolvido para sanção até 90 (noventa) dias do encerramento da Sessão Legislativa.</w:t>
      </w:r>
    </w:p>
    <w:p w:rsidR="00314FF4" w:rsidRPr="00467797" w:rsidRDefault="00314FF4" w:rsidP="00314FF4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II - </w:t>
      </w:r>
      <w:proofErr w:type="gramStart"/>
      <w:r w:rsidRPr="00467797">
        <w:rPr>
          <w:b/>
          <w:i/>
          <w:sz w:val="24"/>
          <w:szCs w:val="24"/>
        </w:rPr>
        <w:t>o</w:t>
      </w:r>
      <w:proofErr w:type="gramEnd"/>
      <w:r w:rsidRPr="00467797">
        <w:rPr>
          <w:b/>
          <w:i/>
          <w:sz w:val="24"/>
          <w:szCs w:val="24"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:rsid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III - o projeto de lei orçamentária será encaminhado até 3(três) meses antes do encerramento do exercício financeiro e devolvido para sanção até o encerramento da Sessão Legislativa.</w:t>
      </w:r>
    </w:p>
    <w:p w:rsidR="008618BD" w:rsidRPr="00314FF4" w:rsidRDefault="008618BD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333E25" w:rsidRDefault="007D2175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que foi </w:t>
      </w:r>
      <w:r w:rsidR="00333E25">
        <w:rPr>
          <w:sz w:val="24"/>
          <w:szCs w:val="24"/>
        </w:rPr>
        <w:t>assegurada</w:t>
      </w:r>
      <w:r w:rsidR="00333E25" w:rsidRPr="00333E25">
        <w:rPr>
          <w:sz w:val="24"/>
          <w:szCs w:val="24"/>
        </w:rPr>
        <w:t xml:space="preserve"> a participação popular no processo legislativo orç</w:t>
      </w:r>
      <w:r w:rsidR="00666F9C">
        <w:rPr>
          <w:sz w:val="24"/>
          <w:szCs w:val="24"/>
        </w:rPr>
        <w:t>amentário,</w:t>
      </w:r>
      <w:r w:rsidR="004A1988">
        <w:rPr>
          <w:sz w:val="24"/>
          <w:szCs w:val="24"/>
        </w:rPr>
        <w:t xml:space="preserve"> por meio da r</w:t>
      </w:r>
      <w:r w:rsidR="00C85594">
        <w:rPr>
          <w:sz w:val="24"/>
          <w:szCs w:val="24"/>
        </w:rPr>
        <w:t>ealização de audiência pública</w:t>
      </w:r>
      <w:r w:rsidR="00333E25" w:rsidRPr="00333E25">
        <w:rPr>
          <w:sz w:val="24"/>
          <w:szCs w:val="24"/>
        </w:rPr>
        <w:t>, nos termos do estabelecido no artigo 48, parágrafo único, inciso I, da Lei Complementar 101/2000 (Lei de Responsabilidade Fiscal).</w:t>
      </w:r>
      <w:r w:rsidR="00333E25">
        <w:rPr>
          <w:sz w:val="24"/>
          <w:szCs w:val="24"/>
        </w:rPr>
        <w:t xml:space="preserve">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</w:t>
      </w:r>
      <w:proofErr w:type="spellStart"/>
      <w:r w:rsidRPr="00F7312F">
        <w:rPr>
          <w:i/>
          <w:sz w:val="24"/>
          <w:szCs w:val="24"/>
        </w:rPr>
        <w:t>quorum</w:t>
      </w:r>
      <w:proofErr w:type="spellEnd"/>
      <w:r w:rsidRPr="00F7312F">
        <w:rPr>
          <w:sz w:val="24"/>
          <w:szCs w:val="24"/>
        </w:rPr>
        <w:t xml:space="preserve"> para deliberação pelo Plenário desta Casa de Leis é o de </w:t>
      </w:r>
      <w:r w:rsidRPr="00F7312F">
        <w:rPr>
          <w:b/>
          <w:sz w:val="24"/>
          <w:szCs w:val="24"/>
          <w:u w:val="single"/>
        </w:rPr>
        <w:t>maioria absoluta</w:t>
      </w:r>
      <w:r w:rsidRPr="00F7312F">
        <w:rPr>
          <w:sz w:val="24"/>
          <w:szCs w:val="24"/>
        </w:rPr>
        <w:t xml:space="preserve">, conforme estabelece o art. 40, II, “f”, do Regimento Interno da Câmara Municipal de Botucatu (RI).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Assim, o Projeto de Lei Complementar, para ser aprovado, deverá contar com votos favoráveis de mais da metade dos membros da Câmara Municipal de Botucatu (artigo 39, § 2º do RI).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IV </w:t>
      </w:r>
      <w:r w:rsidR="00F13E50">
        <w:rPr>
          <w:b/>
          <w:sz w:val="24"/>
          <w:szCs w:val="24"/>
          <w:u w:val="single"/>
        </w:rPr>
        <w:t>–</w:t>
      </w:r>
      <w:r w:rsidRPr="00F7312F">
        <w:rPr>
          <w:b/>
          <w:sz w:val="24"/>
          <w:szCs w:val="24"/>
          <w:u w:val="single"/>
        </w:rPr>
        <w:t xml:space="preserve"> CONCLUSÃO</w:t>
      </w:r>
    </w:p>
    <w:p w:rsidR="00B2650B" w:rsidRDefault="00CB5472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</w:t>
      </w:r>
      <w:r w:rsidR="00B2650B" w:rsidRPr="00F7312F">
        <w:rPr>
          <w:sz w:val="24"/>
          <w:szCs w:val="24"/>
        </w:rPr>
        <w:t>que foram observadas as regras previstas no Regimento Interno da Câmara Municipal</w:t>
      </w:r>
      <w:r>
        <w:rPr>
          <w:sz w:val="24"/>
          <w:szCs w:val="24"/>
        </w:rPr>
        <w:t xml:space="preserve"> (RI)</w:t>
      </w:r>
      <w:r w:rsidR="00B2650B" w:rsidRPr="00F7312F">
        <w:rPr>
          <w:sz w:val="24"/>
          <w:szCs w:val="24"/>
        </w:rPr>
        <w:t>, q</w:t>
      </w:r>
      <w:r w:rsidR="00DC025C">
        <w:rPr>
          <w:sz w:val="24"/>
          <w:szCs w:val="24"/>
        </w:rPr>
        <w:t>uer quanto à</w:t>
      </w:r>
      <w:r w:rsidR="00B2650B" w:rsidRPr="00F7312F">
        <w:rPr>
          <w:sz w:val="24"/>
          <w:szCs w:val="24"/>
        </w:rPr>
        <w:t xml:space="preserve"> iniciativa do Projeto de Lei Complementar, quer quanto </w:t>
      </w:r>
      <w:r w:rsidR="003B1E2F">
        <w:rPr>
          <w:sz w:val="24"/>
          <w:szCs w:val="24"/>
        </w:rPr>
        <w:t>às demais formalidades específicas do processo legislativo orçamentário</w:t>
      </w:r>
      <w:r w:rsidR="00B2650B" w:rsidRPr="00F7312F">
        <w:rPr>
          <w:sz w:val="24"/>
          <w:szCs w:val="24"/>
        </w:rPr>
        <w:t xml:space="preserve">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Verifica-se, outrossim, que não há</w:t>
      </w:r>
      <w:r w:rsidR="00CB5472">
        <w:rPr>
          <w:sz w:val="24"/>
          <w:szCs w:val="24"/>
        </w:rPr>
        <w:t xml:space="preserve"> afronta à Constituição Federal </w:t>
      </w:r>
      <w:r w:rsidRPr="00F7312F">
        <w:rPr>
          <w:sz w:val="24"/>
          <w:szCs w:val="24"/>
        </w:rPr>
        <w:t xml:space="preserve">e à Lei Orgânica do Município de Botucatu.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Cabe salientar que os dados relativos a orçamento são de responsabilidade exclusiva da Secretaria </w:t>
      </w:r>
      <w:r w:rsidR="00AD3B71">
        <w:rPr>
          <w:sz w:val="24"/>
          <w:szCs w:val="24"/>
        </w:rPr>
        <w:t xml:space="preserve">responsável pela </w:t>
      </w:r>
      <w:r w:rsidRPr="00F7312F">
        <w:rPr>
          <w:sz w:val="24"/>
          <w:szCs w:val="24"/>
        </w:rPr>
        <w:t>Fazenda Municipal</w:t>
      </w:r>
      <w:r w:rsidR="00666F9C">
        <w:rPr>
          <w:sz w:val="24"/>
          <w:szCs w:val="24"/>
        </w:rPr>
        <w:t>, cabendo a esta Procuradoria apenas a análise formal do procedimento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projeto em apreço deve ser encaminhado às Comissões temáticas pertinentes, notadamente, à Comissão de Constituição, Justiça e Redação, bem como à </w:t>
      </w:r>
      <w:r w:rsidRPr="003B1E2F">
        <w:rPr>
          <w:sz w:val="24"/>
          <w:szCs w:val="24"/>
          <w:u w:val="single"/>
        </w:rPr>
        <w:t>Comissão de Finanças e Orçamento</w:t>
      </w:r>
      <w:r w:rsidR="00CC77E1">
        <w:rPr>
          <w:sz w:val="24"/>
          <w:szCs w:val="24"/>
          <w:u w:val="single"/>
        </w:rPr>
        <w:t xml:space="preserve"> (art. 201, § 2º combinado com art. 235, § 3º do RI</w:t>
      </w:r>
      <w:r w:rsidR="00CB5472">
        <w:rPr>
          <w:sz w:val="24"/>
          <w:szCs w:val="24"/>
          <w:u w:val="single"/>
        </w:rPr>
        <w:t>, observando o disposto no seu artigo 76</w:t>
      </w:r>
      <w:r w:rsidR="00CC77E1">
        <w:rPr>
          <w:sz w:val="24"/>
          <w:szCs w:val="24"/>
          <w:u w:val="single"/>
        </w:rPr>
        <w:t>)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Este o parecer, salvo melhor juízo.</w:t>
      </w:r>
    </w:p>
    <w:p w:rsidR="00A37732" w:rsidRDefault="00A37732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Botucatu, </w:t>
      </w:r>
      <w:r w:rsidR="00A37732">
        <w:rPr>
          <w:sz w:val="24"/>
          <w:szCs w:val="24"/>
        </w:rPr>
        <w:t>03</w:t>
      </w:r>
      <w:r w:rsidR="005D3D6F">
        <w:rPr>
          <w:sz w:val="24"/>
          <w:szCs w:val="24"/>
        </w:rPr>
        <w:t xml:space="preserve"> </w:t>
      </w:r>
      <w:r w:rsidR="00CB5472">
        <w:rPr>
          <w:sz w:val="24"/>
          <w:szCs w:val="24"/>
        </w:rPr>
        <w:t>de agosto</w:t>
      </w:r>
      <w:r w:rsidR="00A37732">
        <w:rPr>
          <w:sz w:val="24"/>
          <w:szCs w:val="24"/>
        </w:rPr>
        <w:t xml:space="preserve"> de 2023</w:t>
      </w:r>
      <w:bookmarkStart w:id="0" w:name="_GoBack"/>
      <w:bookmarkEnd w:id="0"/>
      <w:r w:rsidRPr="00F7312F">
        <w:rPr>
          <w:sz w:val="24"/>
          <w:szCs w:val="24"/>
        </w:rPr>
        <w:t>.</w:t>
      </w:r>
    </w:p>
    <w:p w:rsidR="00A37732" w:rsidRDefault="00A37732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9707D8">
      <w:pPr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PAULO ANTONIO CORADI FILHO</w:t>
      </w:r>
    </w:p>
    <w:p w:rsidR="00B2650B" w:rsidRPr="00F7312F" w:rsidRDefault="00B2650B" w:rsidP="009707D8">
      <w:pPr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Procurador Legislativo</w:t>
      </w:r>
    </w:p>
    <w:p w:rsidR="00072BD0" w:rsidRDefault="00DC025C" w:rsidP="009707D8">
      <w:pPr>
        <w:jc w:val="center"/>
        <w:rPr>
          <w:sz w:val="24"/>
          <w:szCs w:val="24"/>
        </w:rPr>
      </w:pPr>
      <w:r>
        <w:rPr>
          <w:sz w:val="24"/>
          <w:szCs w:val="24"/>
        </w:rPr>
        <w:t>OAB-</w:t>
      </w:r>
      <w:r w:rsidR="00B2650B" w:rsidRPr="00F7312F">
        <w:rPr>
          <w:sz w:val="24"/>
          <w:szCs w:val="24"/>
        </w:rPr>
        <w:t>SP 253.716</w:t>
      </w:r>
    </w:p>
    <w:sectPr w:rsidR="00072BD0" w:rsidSect="0064720D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8" w:rsidRDefault="005F3709">
      <w:r>
        <w:separator/>
      </w:r>
    </w:p>
  </w:endnote>
  <w:endnote w:type="continuationSeparator" w:id="0">
    <w:p w:rsidR="00F03A38" w:rsidRDefault="005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8" w:rsidRDefault="005F3709">
      <w:r>
        <w:separator/>
      </w:r>
    </w:p>
  </w:footnote>
  <w:footnote w:type="continuationSeparator" w:id="0">
    <w:p w:rsidR="00F03A38" w:rsidRDefault="005F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540649">
    <w:pPr>
      <w:jc w:val="center"/>
      <w:rPr>
        <w:b/>
        <w:sz w:val="28"/>
      </w:rPr>
    </w:pPr>
  </w:p>
  <w:p w:rsidR="00004485" w:rsidRDefault="00540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0B"/>
    <w:rsid w:val="00072BD0"/>
    <w:rsid w:val="000763E0"/>
    <w:rsid w:val="00076D1C"/>
    <w:rsid w:val="000D2B3D"/>
    <w:rsid w:val="0013097E"/>
    <w:rsid w:val="00157AA5"/>
    <w:rsid w:val="001D7A1B"/>
    <w:rsid w:val="001E470D"/>
    <w:rsid w:val="00227611"/>
    <w:rsid w:val="002E7D8C"/>
    <w:rsid w:val="00314FF4"/>
    <w:rsid w:val="00333E25"/>
    <w:rsid w:val="003734EB"/>
    <w:rsid w:val="003B1E2F"/>
    <w:rsid w:val="00467797"/>
    <w:rsid w:val="004A1988"/>
    <w:rsid w:val="0050388A"/>
    <w:rsid w:val="00540649"/>
    <w:rsid w:val="005431D6"/>
    <w:rsid w:val="005D3D6F"/>
    <w:rsid w:val="005E362F"/>
    <w:rsid w:val="005F3709"/>
    <w:rsid w:val="005F5253"/>
    <w:rsid w:val="0064720D"/>
    <w:rsid w:val="00666F9C"/>
    <w:rsid w:val="00677E77"/>
    <w:rsid w:val="006C135C"/>
    <w:rsid w:val="006E23F6"/>
    <w:rsid w:val="007849B4"/>
    <w:rsid w:val="007C1774"/>
    <w:rsid w:val="007D1871"/>
    <w:rsid w:val="007D2175"/>
    <w:rsid w:val="007E65C0"/>
    <w:rsid w:val="008045E6"/>
    <w:rsid w:val="008071C9"/>
    <w:rsid w:val="008618BD"/>
    <w:rsid w:val="008B57BB"/>
    <w:rsid w:val="009707D8"/>
    <w:rsid w:val="009A2A16"/>
    <w:rsid w:val="009D78C8"/>
    <w:rsid w:val="009E5550"/>
    <w:rsid w:val="009E7FA5"/>
    <w:rsid w:val="00A040A7"/>
    <w:rsid w:val="00A07445"/>
    <w:rsid w:val="00A37732"/>
    <w:rsid w:val="00AA59DA"/>
    <w:rsid w:val="00AA689B"/>
    <w:rsid w:val="00AD3B71"/>
    <w:rsid w:val="00B2650B"/>
    <w:rsid w:val="00B445B2"/>
    <w:rsid w:val="00B81C29"/>
    <w:rsid w:val="00BD50E2"/>
    <w:rsid w:val="00BE37D2"/>
    <w:rsid w:val="00C33C0E"/>
    <w:rsid w:val="00C85594"/>
    <w:rsid w:val="00CB5472"/>
    <w:rsid w:val="00CC77E1"/>
    <w:rsid w:val="00CD2427"/>
    <w:rsid w:val="00D15A47"/>
    <w:rsid w:val="00D2498E"/>
    <w:rsid w:val="00D771AB"/>
    <w:rsid w:val="00DC025C"/>
    <w:rsid w:val="00E551AB"/>
    <w:rsid w:val="00E60123"/>
    <w:rsid w:val="00E92AB1"/>
    <w:rsid w:val="00EE6719"/>
    <w:rsid w:val="00F03A38"/>
    <w:rsid w:val="00F13E50"/>
    <w:rsid w:val="00F57391"/>
    <w:rsid w:val="00F64A80"/>
    <w:rsid w:val="00F7312F"/>
    <w:rsid w:val="00F75FA1"/>
    <w:rsid w:val="00F81197"/>
    <w:rsid w:val="00F93E20"/>
    <w:rsid w:val="00FD16B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6E35-E682-49C6-AD3F-02354C0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265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26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7C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6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2395</Words>
  <Characters>12937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2023-08-02T16:19:00Z</cp:lastPrinted>
  <dcterms:created xsi:type="dcterms:W3CDTF">2023-08-02T16:28:00Z</dcterms:created>
  <dcterms:modified xsi:type="dcterms:W3CDTF">2023-08-02T16:28:00Z</dcterms:modified>
</cp:coreProperties>
</file>