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72" w:rsidRDefault="005E2987">
      <w:pPr>
        <w:jc w:val="center"/>
        <w:rPr>
          <w:b/>
          <w:u w:val="single"/>
        </w:rPr>
      </w:pPr>
      <w:r>
        <w:rPr>
          <w:u w:val="single"/>
        </w:rPr>
        <w:t>PROJETO DE LEI N° 12</w:t>
      </w:r>
      <w:r w:rsidR="00E275A0">
        <w:rPr>
          <w:b/>
          <w:u w:val="single"/>
        </w:rPr>
        <w:t xml:space="preserve"> </w:t>
      </w:r>
      <w:r>
        <w:rPr>
          <w:u w:val="single"/>
        </w:rPr>
        <w:t>de 28 de fevereiro</w:t>
      </w:r>
      <w:r w:rsidR="00E275A0">
        <w:rPr>
          <w:u w:val="single"/>
        </w:rPr>
        <w:t xml:space="preserve"> de 2025.</w:t>
      </w:r>
    </w:p>
    <w:p w:rsidR="00574C72" w:rsidRDefault="00574C72">
      <w:pPr>
        <w:widowControl w:val="0"/>
        <w:tabs>
          <w:tab w:val="left" w:pos="1701"/>
        </w:tabs>
        <w:jc w:val="center"/>
        <w:rPr>
          <w:rFonts w:ascii="Arial" w:hAnsi="Arial" w:cs="Arial"/>
          <w:b/>
          <w:sz w:val="22"/>
          <w:szCs w:val="21"/>
        </w:rPr>
      </w:pPr>
    </w:p>
    <w:p w:rsidR="00574C72" w:rsidRDefault="00E275A0">
      <w:pPr>
        <w:widowControl w:val="0"/>
        <w:tabs>
          <w:tab w:val="left" w:pos="1701"/>
        </w:tabs>
        <w:ind w:left="4706" w:hanging="57"/>
        <w:jc w:val="both"/>
        <w:rPr>
          <w:bCs/>
          <w:i/>
        </w:rPr>
      </w:pPr>
      <w:r>
        <w:rPr>
          <w:bCs/>
          <w:i/>
        </w:rPr>
        <w:t xml:space="preserve">“Proíbe a contratação de shows, artistas e eventos abertos ao público </w:t>
      </w:r>
      <w:proofErr w:type="spellStart"/>
      <w:r>
        <w:rPr>
          <w:bCs/>
          <w:i/>
        </w:rPr>
        <w:t>infantojuvenil</w:t>
      </w:r>
      <w:proofErr w:type="spellEnd"/>
      <w:r>
        <w:rPr>
          <w:bCs/>
          <w:i/>
        </w:rPr>
        <w:t xml:space="preserve"> que envolvam, no decorrer da apresentação, expressão de apologia ao crime organizado ou ao uso de drogas e dá outras </w:t>
      </w:r>
      <w:proofErr w:type="gramStart"/>
      <w:r>
        <w:rPr>
          <w:bCs/>
          <w:i/>
        </w:rPr>
        <w:t>providências.”</w:t>
      </w:r>
      <w:proofErr w:type="gramEnd"/>
    </w:p>
    <w:p w:rsidR="00574C72" w:rsidRDefault="00E275A0">
      <w:pPr>
        <w:widowControl w:val="0"/>
        <w:tabs>
          <w:tab w:val="left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É direito de toda Criança e Adolescente se desenvolver com dignidade, livre da influência do uso de drogas e do crime organizado, com condições adequadas para seu pleno desenvolvimento físico, emocional e educacional, com proteção de qualquer forma de exploração, violência ou abuso, e com pleno acesso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oportunidades que favoreçam seu crescimento saudável e seu bem-estar integral.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2º Toda Criança e Adolescente deve ter acesso à cultura, das mais variadas formas, sempre pela luz do princípio do melhor interesse do menor, de modo que não seja ofertada pelo poder público municipal produções que incentivem condutas criminosas como o uso de drogas e apologia ao crime organizado.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3º É dever do município e da sociedade em geral garantir com absoluta prioridade os direitos fundamentais da Criança e do Adolescente, protegendo-os da influência do uso de drogas e do crime organizado.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O município deve adotar medidas eficazes para a prevenção da violência e da exploração de Crianças e Adolescentes, além de fomentar iniciativas que afastem o menor de idade de atividades como o uso de drogas e apologia ao crime organizado, que o deixe vulnerável à criminalidade. 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5º Fica proibida à Administração Pública Municipal, direta ou indireta, a contratar shows, artistas e eventos abertos ao público </w:t>
      </w:r>
      <w:proofErr w:type="spellStart"/>
      <w:r>
        <w:rPr>
          <w:sz w:val="24"/>
          <w:szCs w:val="24"/>
        </w:rPr>
        <w:t>infantojuvenil</w:t>
      </w:r>
      <w:proofErr w:type="spellEnd"/>
      <w:r>
        <w:rPr>
          <w:sz w:val="24"/>
          <w:szCs w:val="24"/>
        </w:rPr>
        <w:t xml:space="preserve"> que envolvam, no decorrer da apresentação, expressão de apologia ao crime organizado ou ao uso de drogas.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Os pais são responsáveis solidários aos organizadores dos shows, eventos artísticos ou outros eventos de qualquer natureza, quanto à presença de menores de idade em apresentações que se enquadram no caput, devendo eles observarem a classificação indicativa, caso essa não seja aberta ao público </w:t>
      </w:r>
      <w:proofErr w:type="spellStart"/>
      <w:r>
        <w:rPr>
          <w:sz w:val="24"/>
          <w:szCs w:val="24"/>
        </w:rPr>
        <w:t>infantojuvenil</w:t>
      </w:r>
      <w:proofErr w:type="spellEnd"/>
      <w:r>
        <w:rPr>
          <w:sz w:val="24"/>
          <w:szCs w:val="24"/>
        </w:rPr>
        <w:t>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6º Nas contratações de shows, artistas ou eventos de qualquer natureza feitas pela Administração Pública Municipal, que possam ser acessadas pelo público </w:t>
      </w:r>
      <w:proofErr w:type="spellStart"/>
      <w:r>
        <w:rPr>
          <w:sz w:val="24"/>
          <w:szCs w:val="24"/>
        </w:rPr>
        <w:t>infantojuvenil</w:t>
      </w:r>
      <w:proofErr w:type="spellEnd"/>
      <w:r>
        <w:rPr>
          <w:sz w:val="24"/>
          <w:szCs w:val="24"/>
        </w:rPr>
        <w:t xml:space="preserve">, dever-se-á ter uma cláusula de não expressão de apologia ao crime e ao uso de drogas, em que o contratado deverá se comprometer a não </w:t>
      </w:r>
      <w:proofErr w:type="gramStart"/>
      <w:r>
        <w:rPr>
          <w:sz w:val="24"/>
          <w:szCs w:val="24"/>
        </w:rPr>
        <w:t>quebrá-la</w:t>
      </w:r>
      <w:proofErr w:type="gramEnd"/>
      <w:r>
        <w:rPr>
          <w:sz w:val="24"/>
          <w:szCs w:val="24"/>
        </w:rPr>
        <w:t xml:space="preserve">. 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Em caso de descumprimento da não expressão de apologia ao crime ou ao uso de drogas, o contratado sofrerá a imediata rescisão do contrato, sanções contratuais e multa no valor de 100% do valor do contrato, que será destinada ao Ensino Fundamental da Rede Municipal de Ensino de Botucatu. 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574C72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5E2987" w:rsidRDefault="005E2987" w:rsidP="005E2987">
      <w:pPr>
        <w:jc w:val="center"/>
        <w:rPr>
          <w:b/>
          <w:u w:val="single"/>
        </w:rPr>
      </w:pPr>
      <w:r>
        <w:rPr>
          <w:u w:val="single"/>
        </w:rPr>
        <w:lastRenderedPageBreak/>
        <w:t>PROJETO DE LEI N° 12</w:t>
      </w:r>
      <w:r>
        <w:rPr>
          <w:b/>
          <w:u w:val="single"/>
        </w:rPr>
        <w:t xml:space="preserve"> </w:t>
      </w:r>
      <w:r>
        <w:rPr>
          <w:u w:val="single"/>
        </w:rPr>
        <w:t>de 28 de fevereiro de 2025.</w:t>
      </w:r>
    </w:p>
    <w:p w:rsidR="00574C72" w:rsidRDefault="00574C72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574C72" w:rsidRDefault="00574C72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O descumprimento da </w:t>
      </w:r>
      <w:bookmarkStart w:id="0" w:name="_GoBack"/>
      <w:bookmarkEnd w:id="0"/>
      <w:r>
        <w:rPr>
          <w:sz w:val="24"/>
          <w:szCs w:val="24"/>
        </w:rPr>
        <w:t>cláusula de não expressão de apologia ao crime e ao uso de drogas, conforme estabelecido no caput, poderá ser denunciado por qualquer pessoa, entidade ou órgão da Administração Pública para a Prefeitura de Botucatu, por meio da Ouvidoria do Município ou qualquer outro canal oficial.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O auto de infração e imposição de multa descrito no § 1º poderá ser lavrado pela Prefeitura de Botucatu pelos seus órgãos competentes, inclusive pela Guarda Civil Municipal. 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7º É vedado ao Município de Botucatu apoiar, patrocinar ou divulgar show, artista ou evento de qualquer natureza que envolva expressão de apologia ao crime organizado ou ao uso de drogas. 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Parágrafo único. A denúncia de violação da vedação descrita no caput poderá ser feita por qualquer pessoa, entidade ou órgão da Administração Pública para a Prefeitura de Botucatu, por meio da Ouvidoria do Município, e o contratado, apoiado, divulgado ou patrocinado fica sujeito à mesma sanção do § 1º do art. 6º desta lei, no que couber.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Art. 8º O Poder Executivo regulamentará esta Lei, no que couber.</w:t>
      </w:r>
    </w:p>
    <w:p w:rsidR="00574C72" w:rsidRDefault="00574C72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574C72" w:rsidRDefault="00E275A0">
      <w:pPr>
        <w:widowControl w:val="0"/>
        <w:tabs>
          <w:tab w:val="left" w:pos="1701"/>
        </w:tabs>
        <w:jc w:val="both"/>
        <w:rPr>
          <w:bCs/>
        </w:rPr>
      </w:pPr>
      <w:r>
        <w:rPr>
          <w:bCs/>
        </w:rPr>
        <w:t>Art. 9</w:t>
      </w:r>
      <w:proofErr w:type="gramStart"/>
      <w:r>
        <w:rPr>
          <w:bCs/>
        </w:rPr>
        <w:t>º  Esta</w:t>
      </w:r>
      <w:proofErr w:type="gramEnd"/>
      <w:r>
        <w:rPr>
          <w:bCs/>
        </w:rPr>
        <w:t xml:space="preserve"> lei entra em vigor na data de sua publicação.</w:t>
      </w:r>
    </w:p>
    <w:p w:rsidR="00574C72" w:rsidRDefault="00574C72">
      <w:pPr>
        <w:widowControl w:val="0"/>
        <w:tabs>
          <w:tab w:val="left" w:pos="1701"/>
        </w:tabs>
        <w:jc w:val="both"/>
        <w:rPr>
          <w:bCs/>
        </w:rPr>
      </w:pPr>
    </w:p>
    <w:p w:rsidR="00574C72" w:rsidRDefault="00574C72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</w:rPr>
      </w:pPr>
    </w:p>
    <w:p w:rsidR="00574C72" w:rsidRDefault="00574C72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</w:rPr>
      </w:pPr>
    </w:p>
    <w:p w:rsidR="00574C72" w:rsidRDefault="00574C72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</w:rPr>
      </w:pPr>
    </w:p>
    <w:p w:rsidR="00574C72" w:rsidRDefault="00574C72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</w:rPr>
      </w:pPr>
    </w:p>
    <w:p w:rsidR="00574C72" w:rsidRDefault="00574C72">
      <w:pPr>
        <w:widowControl w:val="0"/>
        <w:tabs>
          <w:tab w:val="left" w:pos="1701"/>
        </w:tabs>
        <w:ind w:firstLine="1620"/>
        <w:jc w:val="both"/>
        <w:rPr>
          <w:rFonts w:ascii="Arial" w:hAnsi="Arial" w:cs="Arial"/>
        </w:rPr>
      </w:pPr>
    </w:p>
    <w:p w:rsidR="00574C72" w:rsidRDefault="00574C72">
      <w:pPr>
        <w:jc w:val="center"/>
        <w:rPr>
          <w:b/>
          <w:i/>
        </w:rPr>
      </w:pPr>
    </w:p>
    <w:p w:rsidR="00574C72" w:rsidRDefault="00E275A0">
      <w:pPr>
        <w:jc w:val="center"/>
        <w:rPr>
          <w:b/>
          <w:i/>
        </w:rPr>
      </w:pPr>
      <w:r>
        <w:rPr>
          <w:b/>
          <w:i/>
        </w:rPr>
        <w:t>Fábio Vieira de Souza Leite</w:t>
      </w:r>
    </w:p>
    <w:p w:rsidR="00574C72" w:rsidRDefault="00E275A0">
      <w:pPr>
        <w:jc w:val="center"/>
      </w:pPr>
      <w:r>
        <w:t>Prefeito Municipal</w:t>
      </w:r>
    </w:p>
    <w:p w:rsidR="00574C72" w:rsidRDefault="00574C72">
      <w:pPr>
        <w:widowControl w:val="0"/>
        <w:tabs>
          <w:tab w:val="left" w:pos="1701"/>
        </w:tabs>
        <w:rPr>
          <w:rFonts w:ascii="Arial" w:hAnsi="Arial" w:cs="Arial"/>
        </w:rPr>
      </w:pPr>
    </w:p>
    <w:p w:rsidR="00574C72" w:rsidRDefault="00574C72">
      <w:pPr>
        <w:widowControl w:val="0"/>
        <w:tabs>
          <w:tab w:val="left" w:pos="1701"/>
        </w:tabs>
        <w:rPr>
          <w:rFonts w:ascii="Arial" w:hAnsi="Arial" w:cs="Arial"/>
        </w:rPr>
      </w:pPr>
    </w:p>
    <w:p w:rsidR="00574C72" w:rsidRDefault="00574C72">
      <w:pPr>
        <w:rPr>
          <w:rFonts w:ascii="Arial" w:hAnsi="Arial" w:cs="Arial"/>
        </w:rPr>
      </w:pPr>
    </w:p>
    <w:p w:rsidR="00574C72" w:rsidRDefault="00E275A0">
      <w:pPr>
        <w:widowControl w:val="0"/>
        <w:tabs>
          <w:tab w:val="left" w:pos="1701"/>
        </w:tabs>
        <w:jc w:val="both"/>
        <w:rPr>
          <w:rFonts w:ascii="Arial" w:hAnsi="Arial" w:cs="Arial"/>
          <w:b/>
          <w:highlight w:val="yellow"/>
        </w:rPr>
      </w:pPr>
      <w:bookmarkStart w:id="1" w:name="_Hlk26444021"/>
      <w:bookmarkEnd w:id="1"/>
      <w:r>
        <w:br w:type="page"/>
      </w:r>
    </w:p>
    <w:p w:rsidR="00574C72" w:rsidRDefault="00574C72">
      <w:pPr>
        <w:widowControl w:val="0"/>
        <w:tabs>
          <w:tab w:val="left" w:pos="1701"/>
        </w:tabs>
        <w:jc w:val="both"/>
        <w:rPr>
          <w:rFonts w:ascii="Arial" w:hAnsi="Arial" w:cs="Arial"/>
          <w:b/>
          <w:sz w:val="23"/>
          <w:szCs w:val="23"/>
          <w:highlight w:val="yellow"/>
        </w:rPr>
      </w:pPr>
    </w:p>
    <w:p w:rsidR="00574C72" w:rsidRDefault="00574C72">
      <w:pPr>
        <w:widowControl w:val="0"/>
        <w:tabs>
          <w:tab w:val="left" w:pos="1701"/>
        </w:tabs>
        <w:jc w:val="center"/>
        <w:rPr>
          <w:b/>
          <w:bCs/>
        </w:rPr>
      </w:pPr>
    </w:p>
    <w:p w:rsidR="00574C72" w:rsidRDefault="00574C72">
      <w:pPr>
        <w:widowControl w:val="0"/>
        <w:tabs>
          <w:tab w:val="left" w:pos="1701"/>
        </w:tabs>
        <w:jc w:val="center"/>
        <w:rPr>
          <w:b/>
          <w:bCs/>
        </w:rPr>
      </w:pPr>
    </w:p>
    <w:p w:rsidR="00574C72" w:rsidRDefault="00574C72">
      <w:pPr>
        <w:widowControl w:val="0"/>
        <w:tabs>
          <w:tab w:val="left" w:pos="1701"/>
        </w:tabs>
        <w:jc w:val="center"/>
        <w:rPr>
          <w:b/>
          <w:bCs/>
        </w:rPr>
      </w:pPr>
    </w:p>
    <w:p w:rsidR="00574C72" w:rsidRDefault="00574C72">
      <w:pPr>
        <w:widowControl w:val="0"/>
        <w:tabs>
          <w:tab w:val="left" w:pos="1701"/>
        </w:tabs>
        <w:jc w:val="center"/>
        <w:rPr>
          <w:b/>
          <w:bCs/>
        </w:rPr>
      </w:pPr>
    </w:p>
    <w:p w:rsidR="00574C72" w:rsidRDefault="00574C72">
      <w:pPr>
        <w:widowControl w:val="0"/>
        <w:tabs>
          <w:tab w:val="left" w:pos="1701"/>
        </w:tabs>
        <w:jc w:val="center"/>
        <w:rPr>
          <w:b/>
          <w:bCs/>
        </w:rPr>
      </w:pPr>
    </w:p>
    <w:p w:rsidR="00574C72" w:rsidRDefault="00E275A0">
      <w:pPr>
        <w:widowControl w:val="0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J U S T I F I C A T IV A</w:t>
      </w: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</w:p>
    <w:p w:rsidR="00574C72" w:rsidRDefault="00E275A0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Exmo.  Sr. Presidente da Câmara Municipal</w:t>
      </w:r>
    </w:p>
    <w:p w:rsidR="00574C72" w:rsidRDefault="00E275A0">
      <w:pPr>
        <w:pStyle w:val="Ttulo3"/>
        <w:keepNext w:val="0"/>
        <w:widowControl w:val="0"/>
        <w:tabs>
          <w:tab w:val="left" w:pos="1701"/>
        </w:tabs>
        <w:ind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Exmos. Srs. Vereadores</w:t>
      </w: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E275A0">
      <w:pPr>
        <w:widowControl w:val="0"/>
        <w:tabs>
          <w:tab w:val="left" w:pos="1701"/>
        </w:tabs>
        <w:jc w:val="both"/>
      </w:pPr>
      <w:r>
        <w:tab/>
      </w:r>
      <w:r>
        <w:tab/>
      </w:r>
    </w:p>
    <w:p w:rsidR="00574C72" w:rsidRDefault="00E275A0">
      <w:pPr>
        <w:widowControl w:val="0"/>
        <w:tabs>
          <w:tab w:val="left" w:pos="1701"/>
        </w:tabs>
        <w:jc w:val="both"/>
      </w:pPr>
      <w:r>
        <w:tab/>
      </w:r>
      <w:r>
        <w:tab/>
        <w:t xml:space="preserve">Trata-se de projeto de lei ordinária objetivando proibir a contratação de shows, artistas e eventos abertos ao público </w:t>
      </w:r>
      <w:proofErr w:type="spellStart"/>
      <w:r>
        <w:t>infantojuvenil</w:t>
      </w:r>
      <w:proofErr w:type="spellEnd"/>
      <w:r>
        <w:t xml:space="preserve"> que envolvam, no decorrer da apresentação, expressão de apologia ao crime organizado ou ao uso de drogas e dá outras providências.</w:t>
      </w: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E275A0">
      <w:pPr>
        <w:widowControl w:val="0"/>
        <w:tabs>
          <w:tab w:val="left" w:pos="1701"/>
        </w:tabs>
        <w:jc w:val="both"/>
      </w:pPr>
      <w:r>
        <w:tab/>
      </w:r>
      <w:r>
        <w:tab/>
      </w:r>
      <w:r>
        <w:tab/>
        <w:t xml:space="preserve">Apresento a essa Casa de Leis o incluso Projeto de Lei, que aguardo seja aprovado pela unanimidade dos Senhores Vereadores.   </w:t>
      </w: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widowControl w:val="0"/>
        <w:tabs>
          <w:tab w:val="left" w:pos="1701"/>
        </w:tabs>
        <w:jc w:val="both"/>
      </w:pPr>
    </w:p>
    <w:p w:rsidR="00574C72" w:rsidRDefault="00574C72">
      <w:pPr>
        <w:jc w:val="center"/>
        <w:rPr>
          <w:b/>
          <w:i/>
          <w:sz w:val="23"/>
          <w:szCs w:val="23"/>
        </w:rPr>
      </w:pPr>
    </w:p>
    <w:p w:rsidR="00574C72" w:rsidRDefault="00574C72">
      <w:pPr>
        <w:jc w:val="center"/>
        <w:rPr>
          <w:b/>
          <w:i/>
          <w:sz w:val="23"/>
          <w:szCs w:val="23"/>
        </w:rPr>
      </w:pPr>
    </w:p>
    <w:p w:rsidR="00574C72" w:rsidRDefault="00574C72">
      <w:pPr>
        <w:jc w:val="center"/>
        <w:rPr>
          <w:b/>
          <w:i/>
          <w:sz w:val="23"/>
          <w:szCs w:val="23"/>
        </w:rPr>
      </w:pPr>
    </w:p>
    <w:p w:rsidR="00574C72" w:rsidRDefault="00574C72">
      <w:pPr>
        <w:jc w:val="center"/>
        <w:rPr>
          <w:b/>
          <w:i/>
          <w:sz w:val="23"/>
          <w:szCs w:val="23"/>
        </w:rPr>
      </w:pPr>
    </w:p>
    <w:p w:rsidR="00574C72" w:rsidRDefault="00E275A0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Fábio Vieira de Souza Leite</w:t>
      </w:r>
    </w:p>
    <w:p w:rsidR="00574C72" w:rsidRDefault="00E275A0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Prefeito Municipal</w:t>
      </w:r>
    </w:p>
    <w:p w:rsidR="00574C72" w:rsidRDefault="00574C72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574C72" w:rsidRDefault="00574C72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1"/>
        </w:rPr>
      </w:pPr>
    </w:p>
    <w:p w:rsidR="00574C72" w:rsidRDefault="00574C72">
      <w:pPr>
        <w:widowControl w:val="0"/>
        <w:tabs>
          <w:tab w:val="left" w:pos="1701"/>
        </w:tabs>
        <w:jc w:val="both"/>
        <w:rPr>
          <w:rFonts w:ascii="Arial" w:hAnsi="Arial" w:cs="Arial"/>
          <w:sz w:val="22"/>
          <w:szCs w:val="21"/>
        </w:rPr>
      </w:pPr>
    </w:p>
    <w:p w:rsidR="00574C72" w:rsidRDefault="00574C72">
      <w:pPr>
        <w:widowControl w:val="0"/>
        <w:tabs>
          <w:tab w:val="left" w:pos="1701"/>
        </w:tabs>
        <w:rPr>
          <w:rFonts w:ascii="Arial" w:hAnsi="Arial" w:cs="Arial"/>
          <w:b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574C72">
      <w:pPr>
        <w:rPr>
          <w:rFonts w:ascii="Arial" w:hAnsi="Arial" w:cs="Arial"/>
          <w:sz w:val="23"/>
          <w:szCs w:val="23"/>
        </w:rPr>
      </w:pPr>
    </w:p>
    <w:p w:rsidR="00574C72" w:rsidRDefault="00E275A0">
      <w:pPr>
        <w:tabs>
          <w:tab w:val="left" w:pos="1377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</w:p>
    <w:p w:rsidR="00574C72" w:rsidRDefault="00E275A0">
      <w:pPr>
        <w:tabs>
          <w:tab w:val="left" w:pos="1377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574C72" w:rsidRDefault="00574C72">
      <w:pPr>
        <w:sectPr w:rsidR="00574C72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701" w:right="1134" w:bottom="1134" w:left="1701" w:header="709" w:footer="692" w:gutter="0"/>
          <w:paperSrc w:first="7" w:other="7"/>
          <w:cols w:space="720"/>
        </w:sectPr>
      </w:pPr>
    </w:p>
    <w:p w:rsidR="00574C72" w:rsidRDefault="00574C72">
      <w:pPr>
        <w:pStyle w:val="Ttulo2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574C72" w:rsidRDefault="00E275A0">
      <w:pPr>
        <w:pStyle w:val="Ttulo2"/>
        <w:jc w:val="center"/>
        <w:rPr>
          <w:rFonts w:ascii="Times New Roman" w:hAnsi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/>
          <w:b/>
          <w:bCs/>
          <w:color w:val="auto"/>
          <w:sz w:val="23"/>
          <w:szCs w:val="23"/>
        </w:rPr>
        <w:t>EXPOSIÇÃO DE MOTIVOS</w:t>
      </w:r>
    </w:p>
    <w:p w:rsidR="00574C72" w:rsidRDefault="00574C72">
      <w:pPr>
        <w:jc w:val="both"/>
        <w:rPr>
          <w:b/>
          <w:i/>
          <w:sz w:val="23"/>
          <w:szCs w:val="23"/>
        </w:rPr>
      </w:pPr>
    </w:p>
    <w:p w:rsidR="00574C72" w:rsidRDefault="00E275A0">
      <w:pPr>
        <w:jc w:val="both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:rsidR="00574C72" w:rsidRDefault="00E275A0">
      <w:pPr>
        <w:jc w:val="both"/>
        <w:rPr>
          <w:sz w:val="23"/>
          <w:szCs w:val="23"/>
        </w:rPr>
      </w:pPr>
      <w:r>
        <w:rPr>
          <w:sz w:val="23"/>
          <w:szCs w:val="23"/>
        </w:rPr>
        <w:t>Excelentíssimos Senhores Vereadores.</w:t>
      </w:r>
    </w:p>
    <w:p w:rsidR="00574C72" w:rsidRDefault="00574C72">
      <w:pPr>
        <w:widowControl w:val="0"/>
        <w:tabs>
          <w:tab w:val="left" w:pos="1701"/>
        </w:tabs>
        <w:ind w:firstLine="2268"/>
        <w:jc w:val="both"/>
        <w:rPr>
          <w:sz w:val="23"/>
          <w:szCs w:val="23"/>
        </w:rPr>
      </w:pP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Submetemos à apreciação desta Casa Legislativa o presente Projeto de Lei, que tem por finalidade vedar a contratação, pelo Poder Público Municipal, de shows, artistas e eventos abertos ao público </w:t>
      </w:r>
      <w:proofErr w:type="spellStart"/>
      <w:r>
        <w:rPr>
          <w:sz w:val="23"/>
          <w:szCs w:val="23"/>
        </w:rPr>
        <w:t>infantojuvenil</w:t>
      </w:r>
      <w:proofErr w:type="spellEnd"/>
      <w:r>
        <w:rPr>
          <w:sz w:val="23"/>
          <w:szCs w:val="23"/>
        </w:rPr>
        <w:t xml:space="preserve"> que contenham, no decorrer da apresentação, expressões de apologia ao crime organizado ou ao uso de drogas.</w:t>
      </w: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A proposta está embasada nos princípios e direitos fundamentais assegurados pelo Estatuto da Criança e do Adolescente (ECA), especialmente no que concerne à proteção integral dos menores, garantindo-lhes um desenvolvimento sadio, livre de influências nocivas que possam comprometer sua formação moral e social.</w:t>
      </w: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Sabe-se que a cultura e a arte desempenham papel fundamental na educação e no desenvolvimento das crianças e adolescentes, sendo meios essenciais para a formação de valores e princípios. Contudo, observa-se que determinados conteúdos artísticos podem, inadvertidamente, promover comportamentos prejudiciais ao bem-estar social, ao fazerem alusão positiva a práticas criminosas e ao consumo de substâncias entorpecentes.</w:t>
      </w: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Diante desse cenário, é dever do Município e da sociedade em geral zelar pela proteção da infância e da juventude, prevenindo situações que possam expor menores de idade a influências prejudiciais. Assim, a presente iniciativa estabelece diretrizes objetivas para a seleção de eventos custeados ou promovidos pela Administração Pública Municipal, garantindo que tais manifestações culturais estejam alinhadas com os princípios do desenvolvimento infantil saudável.</w:t>
      </w: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Ademais, o projeto prevê sanções contratuais e penalidades financeiras em casos de descumprimento da norma, assegurando a efetividade da medida e coibindo eventuais infrações. As multas arrecadadas serão destinadas ao Ensino Fundamental da Rede Municipal de Ensino de Botucatu, reforçando o compromisso da Administração com a educação de qualidade e com a formação de cidadãos conscientes e responsáveis.</w:t>
      </w:r>
    </w:p>
    <w:p w:rsidR="00574C72" w:rsidRDefault="00E275A0">
      <w:pPr>
        <w:widowControl w:val="0"/>
        <w:tabs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Por fim, vale destacar que esta propositura não tem o intuito de cercear a liberdade de expressão artística, mas sim de resguardar os direitos das crianças e adolescentes, assegurando que as manifestações culturais incentivadas pelo poder público estejam em consonância com os valores fundamentais da sociedade.</w:t>
      </w:r>
    </w:p>
    <w:p w:rsidR="00574C72" w:rsidRDefault="00E275A0">
      <w:pPr>
        <w:widowControl w:val="0"/>
        <w:tabs>
          <w:tab w:val="left" w:pos="1644"/>
          <w:tab w:val="left" w:pos="1701"/>
        </w:tabs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Diante do exposto, considerando a relevância e a pertinência da matéria, contamos com o apoio desta Casa Legislativa para a aprovação do presente Projeto de Lei.</w:t>
      </w:r>
    </w:p>
    <w:p w:rsidR="00574C72" w:rsidRDefault="00E275A0">
      <w:pPr>
        <w:widowControl w:val="0"/>
        <w:spacing w:before="120"/>
        <w:ind w:firstLine="2268"/>
        <w:jc w:val="both"/>
        <w:rPr>
          <w:sz w:val="23"/>
          <w:szCs w:val="23"/>
        </w:rPr>
      </w:pPr>
      <w:r>
        <w:rPr>
          <w:sz w:val="23"/>
          <w:szCs w:val="23"/>
        </w:rPr>
        <w:t>Em razão destes motivos, que se reverterão em benefício tanto para a municipalidade como para o resguardo do interesse público, solicitamos sua aprovação por essa Colenda Casa de Leis e, ao ensejo, reiteramos votos de alta estima e distinta consideração.</w:t>
      </w:r>
    </w:p>
    <w:p w:rsidR="00574C72" w:rsidRDefault="00574C72">
      <w:pPr>
        <w:widowControl w:val="0"/>
        <w:tabs>
          <w:tab w:val="left" w:pos="1701"/>
        </w:tabs>
        <w:ind w:firstLine="2268"/>
        <w:jc w:val="both"/>
        <w:rPr>
          <w:sz w:val="23"/>
          <w:szCs w:val="23"/>
        </w:rPr>
      </w:pPr>
    </w:p>
    <w:p w:rsidR="00574C72" w:rsidRDefault="00574C72">
      <w:pPr>
        <w:widowControl w:val="0"/>
        <w:tabs>
          <w:tab w:val="left" w:pos="113"/>
          <w:tab w:val="left" w:pos="1701"/>
        </w:tabs>
        <w:jc w:val="center"/>
        <w:rPr>
          <w:sz w:val="23"/>
          <w:szCs w:val="23"/>
        </w:rPr>
      </w:pPr>
    </w:p>
    <w:p w:rsidR="00574C72" w:rsidRDefault="00E275A0">
      <w:pPr>
        <w:widowControl w:val="0"/>
        <w:tabs>
          <w:tab w:val="left" w:pos="113"/>
          <w:tab w:val="left" w:pos="1701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Respeitosamente,</w:t>
      </w:r>
    </w:p>
    <w:p w:rsidR="00574C72" w:rsidRDefault="00574C72">
      <w:pPr>
        <w:widowControl w:val="0"/>
        <w:tabs>
          <w:tab w:val="left" w:pos="1701"/>
        </w:tabs>
        <w:ind w:firstLine="2340"/>
        <w:jc w:val="both"/>
        <w:rPr>
          <w:sz w:val="23"/>
          <w:szCs w:val="23"/>
        </w:rPr>
      </w:pPr>
    </w:p>
    <w:p w:rsidR="00574C72" w:rsidRDefault="00574C72">
      <w:pPr>
        <w:widowControl w:val="0"/>
        <w:tabs>
          <w:tab w:val="left" w:pos="1701"/>
        </w:tabs>
        <w:ind w:firstLine="2340"/>
        <w:jc w:val="both"/>
        <w:rPr>
          <w:sz w:val="23"/>
          <w:szCs w:val="23"/>
        </w:rPr>
      </w:pPr>
    </w:p>
    <w:p w:rsidR="00574C72" w:rsidRDefault="00574C72">
      <w:pPr>
        <w:widowControl w:val="0"/>
        <w:tabs>
          <w:tab w:val="left" w:pos="1701"/>
        </w:tabs>
        <w:ind w:firstLine="2340"/>
        <w:jc w:val="both"/>
        <w:rPr>
          <w:sz w:val="23"/>
          <w:szCs w:val="23"/>
        </w:rPr>
      </w:pPr>
    </w:p>
    <w:p w:rsidR="00574C72" w:rsidRDefault="00574C72">
      <w:pPr>
        <w:widowControl w:val="0"/>
        <w:tabs>
          <w:tab w:val="left" w:pos="1701"/>
        </w:tabs>
        <w:ind w:firstLine="2340"/>
        <w:jc w:val="both"/>
        <w:rPr>
          <w:sz w:val="23"/>
          <w:szCs w:val="23"/>
        </w:rPr>
      </w:pPr>
    </w:p>
    <w:p w:rsidR="00574C72" w:rsidRDefault="00E275A0">
      <w:pPr>
        <w:widowControl w:val="0"/>
        <w:tabs>
          <w:tab w:val="left" w:pos="1701"/>
        </w:tabs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Cinthia Cristina de Souza Al-Lage </w:t>
      </w:r>
    </w:p>
    <w:p w:rsidR="00574C72" w:rsidRDefault="00E275A0">
      <w:pPr>
        <w:widowControl w:val="0"/>
        <w:tabs>
          <w:tab w:val="left" w:pos="1701"/>
        </w:tabs>
        <w:jc w:val="center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Secretária Municipal de Comunicação </w:t>
      </w:r>
    </w:p>
    <w:sectPr w:rsidR="00574C72">
      <w:headerReference w:type="default" r:id="rId9"/>
      <w:footerReference w:type="default" r:id="rId10"/>
      <w:endnotePr>
        <w:numFmt w:val="decimal"/>
      </w:endnotePr>
      <w:pgSz w:w="11906" w:h="16838"/>
      <w:pgMar w:top="1701" w:right="1134" w:bottom="1134" w:left="1701" w:header="425" w:footer="49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F8" w:rsidRDefault="009955F8">
      <w:r>
        <w:separator/>
      </w:r>
    </w:p>
  </w:endnote>
  <w:endnote w:type="continuationSeparator" w:id="0">
    <w:p w:rsidR="009955F8" w:rsidRDefault="009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72" w:rsidRDefault="00E275A0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E298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5E2987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</w:p>
  <w:p w:rsidR="00574C72" w:rsidRDefault="00574C72">
    <w:pPr>
      <w:pStyle w:val="Cabealho"/>
      <w:ind w:right="-2"/>
      <w:jc w:val="right"/>
      <w:rPr>
        <w:rFonts w:ascii="Arial Narrow" w:hAnsi="Arial Narrow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72" w:rsidRDefault="00E275A0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E2987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 w:rsidR="005E2987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</w:p>
  <w:p w:rsidR="00574C72" w:rsidRDefault="00574C72">
    <w:pPr>
      <w:pStyle w:val="Cabealho"/>
      <w:ind w:right="-2"/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F8" w:rsidRDefault="009955F8">
      <w:r>
        <w:separator/>
      </w:r>
    </w:p>
  </w:footnote>
  <w:footnote w:type="continuationSeparator" w:id="0">
    <w:p w:rsidR="009955F8" w:rsidRDefault="0099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72" w:rsidRDefault="00E275A0">
    <w:pPr>
      <w:pStyle w:val="Cabealho"/>
      <w:ind w:right="-2"/>
      <w:jc w:val="center"/>
    </w:pPr>
    <w:r>
      <w:rPr>
        <w:noProof/>
        <w:lang w:eastAsia="pt-BR"/>
      </w:rPr>
      <w:drawing>
        <wp:inline distT="0" distB="0" distL="0" distR="0">
          <wp:extent cx="5759450" cy="6115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9n68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w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72" w:rsidRDefault="00E275A0">
    <w:pPr>
      <w:pStyle w:val="Cabealho"/>
      <w:ind w:left="-567"/>
      <w:jc w:val="center"/>
    </w:pPr>
    <w:r>
      <w:rPr>
        <w:noProof/>
        <w:lang w:eastAsia="pt-BR"/>
      </w:rPr>
      <w:drawing>
        <wp:inline distT="0" distB="0" distL="0" distR="0">
          <wp:extent cx="5759450" cy="611505"/>
          <wp:effectExtent l="0" t="0" r="0" b="0"/>
          <wp:docPr id="2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9n68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uIwAAwwMAAAAAAQ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5B1"/>
    <w:multiLevelType w:val="hybridMultilevel"/>
    <w:tmpl w:val="B314B8E4"/>
    <w:name w:val="Lista numerada 1"/>
    <w:lvl w:ilvl="0" w:tplc="AEC06766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44223B5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2" w:tplc="D1D6898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3" w:tplc="51686E7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CB6214E6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3A80C97C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6" w:tplc="0EE60F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7" w:tplc="A510CC1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31A02482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D97082A"/>
    <w:multiLevelType w:val="multilevel"/>
    <w:tmpl w:val="2BE418F2"/>
    <w:name w:val="Lista numerada 2"/>
    <w:lvl w:ilvl="0">
      <w:start w:val="1"/>
      <w:numFmt w:val="decimal"/>
      <w:lvlText w:val="%1.0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1416" w:firstLine="0"/>
      </w:pPr>
    </w:lvl>
    <w:lvl w:ilvl="3">
      <w:start w:val="1"/>
      <w:numFmt w:val="decimal"/>
      <w:lvlText w:val="%1.%2.%3.%4"/>
      <w:lvlJc w:val="left"/>
      <w:pPr>
        <w:ind w:left="2124" w:firstLine="0"/>
      </w:pPr>
    </w:lvl>
    <w:lvl w:ilvl="4">
      <w:start w:val="1"/>
      <w:numFmt w:val="decimal"/>
      <w:lvlText w:val="%1.%2.%3.%4.%5"/>
      <w:lvlJc w:val="left"/>
      <w:pPr>
        <w:ind w:left="2832" w:firstLine="0"/>
      </w:pPr>
    </w:lvl>
    <w:lvl w:ilvl="5">
      <w:start w:val="1"/>
      <w:numFmt w:val="decimal"/>
      <w:lvlText w:val="%1.%2.%3.%4.%5.%6"/>
      <w:lvlJc w:val="left"/>
      <w:pPr>
        <w:ind w:left="3540" w:firstLine="0"/>
      </w:pPr>
    </w:lvl>
    <w:lvl w:ilvl="6">
      <w:start w:val="1"/>
      <w:numFmt w:val="decimal"/>
      <w:lvlText w:val="%1.%2.%3.%4.%5.%6.%7"/>
      <w:lvlJc w:val="left"/>
      <w:pPr>
        <w:ind w:left="4248" w:firstLine="0"/>
      </w:pPr>
    </w:lvl>
    <w:lvl w:ilvl="7">
      <w:start w:val="1"/>
      <w:numFmt w:val="decimal"/>
      <w:lvlText w:val="%1.%2.%3.%4.%5.%6.%7.%8"/>
      <w:lvlJc w:val="left"/>
      <w:pPr>
        <w:ind w:left="4956" w:firstLine="0"/>
      </w:pPr>
    </w:lvl>
    <w:lvl w:ilvl="8">
      <w:start w:val="1"/>
      <w:numFmt w:val="decimal"/>
      <w:lvlText w:val="%1.%2.%3.%4.%5.%6.%7.%8.%9"/>
      <w:lvlJc w:val="left"/>
      <w:pPr>
        <w:ind w:left="5664" w:firstLine="0"/>
      </w:pPr>
    </w:lvl>
  </w:abstractNum>
  <w:abstractNum w:abstractNumId="2" w15:restartNumberingAfterBreak="0">
    <w:nsid w:val="4C482617"/>
    <w:multiLevelType w:val="hybridMultilevel"/>
    <w:tmpl w:val="0A663EAC"/>
    <w:lvl w:ilvl="0" w:tplc="B472F6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AFE2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7023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D16C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DEA8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480B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D06E0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71A64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25E49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F9257C"/>
    <w:multiLevelType w:val="multilevel"/>
    <w:tmpl w:val="45C86882"/>
    <w:name w:val="Lista numerada 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0"/>
      <w:lvlJc w:val="left"/>
      <w:pPr>
        <w:ind w:left="1068" w:firstLine="0"/>
      </w:pPr>
    </w:lvl>
    <w:lvl w:ilvl="2">
      <w:start w:val="1"/>
      <w:numFmt w:val="decimal"/>
      <w:lvlText w:val="%1.%2.%3"/>
      <w:lvlJc w:val="left"/>
      <w:pPr>
        <w:ind w:left="2136" w:firstLine="0"/>
      </w:pPr>
    </w:lvl>
    <w:lvl w:ilvl="3">
      <w:start w:val="1"/>
      <w:numFmt w:val="decimal"/>
      <w:lvlText w:val="%1.%2.%3.%4"/>
      <w:lvlJc w:val="left"/>
      <w:pPr>
        <w:ind w:left="3204" w:firstLine="0"/>
      </w:pPr>
    </w:lvl>
    <w:lvl w:ilvl="4">
      <w:start w:val="1"/>
      <w:numFmt w:val="decimal"/>
      <w:lvlText w:val="%1.%2.%3.%4.%5"/>
      <w:lvlJc w:val="left"/>
      <w:pPr>
        <w:ind w:left="4272" w:firstLine="0"/>
      </w:pPr>
    </w:lvl>
    <w:lvl w:ilvl="5">
      <w:start w:val="1"/>
      <w:numFmt w:val="decimal"/>
      <w:lvlText w:val="%1.%2.%3.%4.%5.%6"/>
      <w:lvlJc w:val="left"/>
      <w:pPr>
        <w:ind w:left="5340" w:firstLine="0"/>
      </w:pPr>
    </w:lvl>
    <w:lvl w:ilvl="6">
      <w:start w:val="1"/>
      <w:numFmt w:val="decimal"/>
      <w:lvlText w:val="%1.%2.%3.%4.%5.%6.%7"/>
      <w:lvlJc w:val="left"/>
      <w:pPr>
        <w:ind w:left="6408" w:firstLine="0"/>
      </w:pPr>
    </w:lvl>
    <w:lvl w:ilvl="7">
      <w:start w:val="1"/>
      <w:numFmt w:val="decimal"/>
      <w:lvlText w:val="%1.%2.%3.%4.%5.%6.%7.%8"/>
      <w:lvlJc w:val="left"/>
      <w:pPr>
        <w:ind w:left="7476" w:firstLine="0"/>
      </w:pPr>
    </w:lvl>
    <w:lvl w:ilvl="8">
      <w:start w:val="1"/>
      <w:numFmt w:val="decimal"/>
      <w:lvlText w:val="%1.%2.%3.%4.%5.%6.%7.%8.%9"/>
      <w:lvlJc w:val="left"/>
      <w:pPr>
        <w:ind w:left="8544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72"/>
    <w:rsid w:val="00574C72"/>
    <w:rsid w:val="005E2987"/>
    <w:rsid w:val="009955F8"/>
    <w:rsid w:val="00DF3117"/>
    <w:rsid w:val="00E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A7AC-F557-4E0E-B9DA-3FC5CAD9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ind w:firstLine="2835"/>
      <w:jc w:val="both"/>
      <w:outlineLvl w:val="2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firstLine="708"/>
      <w:jc w:val="center"/>
    </w:pPr>
    <w:rPr>
      <w:rFonts w:ascii="Book Antiqua" w:hAnsi="Book Antiqua"/>
      <w:b/>
      <w:sz w:val="28"/>
      <w:szCs w:val="20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qFormat/>
    <w:pPr>
      <w:spacing w:after="120"/>
    </w:pPr>
    <w:rPr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WW-Recuodecorpodetexto2">
    <w:name w:val="WW-Recuo de corpo de texto 2"/>
    <w:basedOn w:val="Normal"/>
    <w:qFormat/>
    <w:pPr>
      <w:suppressAutoHyphens/>
      <w:ind w:left="3828" w:firstLine="1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</w:rPr>
  </w:style>
  <w:style w:type="character" w:customStyle="1" w:styleId="Ttulo3Char">
    <w:name w:val="Título 3 Char"/>
    <w:rPr>
      <w:rFonts w:ascii="Arial" w:hAnsi="Arial"/>
      <w:b/>
      <w:sz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orpodetextoChar">
    <w:name w:val="Corpo de texto Char"/>
    <w:rPr>
      <w:sz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</w:style>
  <w:style w:type="character" w:customStyle="1" w:styleId="Ttulo2Char">
    <w:name w:val="Título 2 Char"/>
    <w:basedOn w:val="Fontepargpadro"/>
    <w:rPr>
      <w:rFonts w:ascii="Calibri Light" w:eastAsia="Calibri Light" w:hAnsi="Calibri Light"/>
      <w:color w:val="2F5496"/>
      <w:sz w:val="26"/>
      <w:szCs w:val="26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Alisson R. Forti Quessada</dc:creator>
  <cp:keywords/>
  <dc:description/>
  <cp:lastModifiedBy>Daniele</cp:lastModifiedBy>
  <cp:revision>28</cp:revision>
  <cp:lastPrinted>2025-02-24T14:19:00Z</cp:lastPrinted>
  <dcterms:created xsi:type="dcterms:W3CDTF">2025-02-18T00:01:00Z</dcterms:created>
  <dcterms:modified xsi:type="dcterms:W3CDTF">2025-02-28T19:47:00Z</dcterms:modified>
</cp:coreProperties>
</file>